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14" w:type="dxa"/>
        <w:tblInd w:w="-5" w:type="dxa"/>
        <w:tblLook w:val="04A0" w:firstRow="1" w:lastRow="0" w:firstColumn="1" w:lastColumn="0" w:noHBand="0" w:noVBand="1"/>
      </w:tblPr>
      <w:tblGrid>
        <w:gridCol w:w="1636"/>
        <w:gridCol w:w="3184"/>
        <w:gridCol w:w="1843"/>
        <w:gridCol w:w="3151"/>
      </w:tblGrid>
      <w:tr w:rsidR="0023017F" w:rsidRPr="00C247F2" w14:paraId="2E975EF0" w14:textId="77777777" w:rsidTr="7F72991C">
        <w:trPr>
          <w:trHeight w:val="202"/>
        </w:trPr>
        <w:tc>
          <w:tcPr>
            <w:tcW w:w="1636" w:type="dxa"/>
            <w:vMerge w:val="restart"/>
            <w:shd w:val="clear" w:color="auto" w:fill="D9E2F3" w:themeFill="accent5" w:themeFillTint="33"/>
            <w:vAlign w:val="center"/>
          </w:tcPr>
          <w:p w14:paraId="05D0AC20" w14:textId="19DC6A98" w:rsidR="0023017F" w:rsidRPr="00C247F2" w:rsidRDefault="0023017F" w:rsidP="0023017F">
            <w:pPr>
              <w:autoSpaceDE w:val="0"/>
              <w:autoSpaceDN w:val="0"/>
              <w:spacing w:line="60" w:lineRule="auto"/>
              <w:rPr>
                <w:rFonts w:ascii="Helvetica" w:eastAsia="ＭＳ ゴシック" w:hAnsi="Helvetica" w:cs="Times New Roman"/>
                <w:sz w:val="16"/>
                <w:szCs w:val="16"/>
              </w:rPr>
            </w:pPr>
            <w:r w:rsidRPr="00C247F2">
              <w:rPr>
                <w:rFonts w:ascii="Helvetica" w:eastAsia="ＭＳ ゴシック" w:hAnsi="Helvetica" w:cs="Times New Roman"/>
                <w:sz w:val="16"/>
                <w:szCs w:val="16"/>
              </w:rPr>
              <w:t>Course Title</w:t>
            </w:r>
          </w:p>
        </w:tc>
        <w:tc>
          <w:tcPr>
            <w:tcW w:w="3184" w:type="dxa"/>
            <w:vMerge w:val="restart"/>
            <w:vAlign w:val="center"/>
          </w:tcPr>
          <w:p w14:paraId="0AB59248" w14:textId="77777777" w:rsidR="00746A78" w:rsidRPr="00C247F2" w:rsidRDefault="0023017F" w:rsidP="0023017F">
            <w:pPr>
              <w:autoSpaceDE w:val="0"/>
              <w:autoSpaceDN w:val="0"/>
              <w:spacing w:line="60" w:lineRule="auto"/>
              <w:jc w:val="left"/>
              <w:rPr>
                <w:rFonts w:ascii="Helvetica" w:hAnsi="Helvetica" w:cs="Times New Roman"/>
                <w:sz w:val="16"/>
                <w:szCs w:val="16"/>
              </w:rPr>
            </w:pPr>
            <w:r w:rsidRPr="00C247F2">
              <w:rPr>
                <w:rFonts w:ascii="Helvetica" w:hAnsi="Helvetica" w:cs="Times New Roman"/>
                <w:sz w:val="16"/>
                <w:szCs w:val="16"/>
              </w:rPr>
              <w:t>Academic English (AE)</w:t>
            </w:r>
            <w:r w:rsidR="00746A78" w:rsidRPr="00C247F2">
              <w:rPr>
                <w:rFonts w:ascii="Helvetica" w:hAnsi="Helvetica" w:cs="Times New Roman"/>
                <w:sz w:val="16"/>
                <w:szCs w:val="16"/>
              </w:rPr>
              <w:t xml:space="preserve"> </w:t>
            </w:r>
          </w:p>
          <w:p w14:paraId="3167FEA0" w14:textId="6B1AA86E" w:rsidR="008F70E3" w:rsidRPr="007F1A88" w:rsidRDefault="00101FA7" w:rsidP="00C247F2">
            <w:pPr>
              <w:autoSpaceDE w:val="0"/>
              <w:autoSpaceDN w:val="0"/>
              <w:spacing w:line="60" w:lineRule="auto"/>
              <w:jc w:val="left"/>
              <w:rPr>
                <w:rFonts w:ascii="Helvetica" w:hAnsi="Helvetica" w:cs="Times New Roman"/>
                <w:color w:val="FF0000"/>
                <w:sz w:val="16"/>
                <w:szCs w:val="16"/>
              </w:rPr>
            </w:pPr>
            <w:r w:rsidRPr="00AE5BEC">
              <w:rPr>
                <w:rFonts w:ascii="Helvetica" w:hAnsi="Helvetica" w:cs="Times New Roman"/>
                <w:sz w:val="16"/>
                <w:szCs w:val="16"/>
              </w:rPr>
              <w:t>AE 3-1</w:t>
            </w:r>
          </w:p>
        </w:tc>
        <w:tc>
          <w:tcPr>
            <w:tcW w:w="1843" w:type="dxa"/>
            <w:shd w:val="clear" w:color="auto" w:fill="D9E2F3" w:themeFill="accent5" w:themeFillTint="33"/>
            <w:vAlign w:val="center"/>
          </w:tcPr>
          <w:p w14:paraId="7DA00009" w14:textId="37F20AEF" w:rsidR="0023017F" w:rsidRPr="00C247F2" w:rsidRDefault="0023017F" w:rsidP="0023017F">
            <w:pPr>
              <w:autoSpaceDE w:val="0"/>
              <w:autoSpaceDN w:val="0"/>
              <w:rPr>
                <w:rFonts w:ascii="Helvetica" w:eastAsia="ＭＳ ゴシック" w:hAnsi="Helvetica" w:cs="Times New Roman"/>
                <w:sz w:val="16"/>
                <w:szCs w:val="16"/>
              </w:rPr>
            </w:pPr>
            <w:r w:rsidRPr="00C247F2">
              <w:rPr>
                <w:rFonts w:ascii="Helvetica" w:eastAsia="ＭＳ ゴシック" w:hAnsi="Helvetica" w:cs="Times New Roman"/>
                <w:sz w:val="16"/>
                <w:szCs w:val="16"/>
              </w:rPr>
              <w:t>Instructor(s)</w:t>
            </w:r>
          </w:p>
        </w:tc>
        <w:tc>
          <w:tcPr>
            <w:tcW w:w="3151" w:type="dxa"/>
            <w:vAlign w:val="center"/>
          </w:tcPr>
          <w:p w14:paraId="077BAC8D" w14:textId="09BED27F" w:rsidR="0023017F" w:rsidRPr="00AE5BEC" w:rsidRDefault="00101FA7" w:rsidP="0023017F">
            <w:pPr>
              <w:autoSpaceDE w:val="0"/>
              <w:autoSpaceDN w:val="0"/>
              <w:jc w:val="left"/>
              <w:rPr>
                <w:rFonts w:ascii="Helvetica" w:eastAsia="ＭＳ ゴシック" w:hAnsi="Helvetica" w:cs="Times New Roman"/>
                <w:sz w:val="16"/>
                <w:szCs w:val="16"/>
              </w:rPr>
            </w:pPr>
            <w:r w:rsidRPr="00AE5BEC">
              <w:rPr>
                <w:rFonts w:ascii="Helvetica" w:eastAsia="ＭＳ ゴシック" w:hAnsi="Helvetica" w:cs="Times New Roman"/>
                <w:sz w:val="16"/>
                <w:szCs w:val="16"/>
              </w:rPr>
              <w:t>Anne Howard</w:t>
            </w:r>
            <w:r w:rsidR="00746A78" w:rsidRPr="00AE5BEC">
              <w:rPr>
                <w:rFonts w:ascii="Helvetica" w:eastAsia="ＭＳ ゴシック" w:hAnsi="Helvetica" w:cs="Times New Roman"/>
                <w:sz w:val="16"/>
                <w:szCs w:val="16"/>
              </w:rPr>
              <w:t xml:space="preserve"> </w:t>
            </w:r>
          </w:p>
        </w:tc>
      </w:tr>
      <w:tr w:rsidR="0023017F" w:rsidRPr="00C247F2" w14:paraId="38DB2B14" w14:textId="77777777" w:rsidTr="7F72991C">
        <w:trPr>
          <w:trHeight w:val="202"/>
        </w:trPr>
        <w:tc>
          <w:tcPr>
            <w:tcW w:w="1636" w:type="dxa"/>
            <w:vMerge/>
            <w:vAlign w:val="center"/>
          </w:tcPr>
          <w:p w14:paraId="0A3B68BB" w14:textId="77777777" w:rsidR="0023017F" w:rsidRPr="00C247F2" w:rsidRDefault="0023017F" w:rsidP="0023017F">
            <w:pPr>
              <w:autoSpaceDE w:val="0"/>
              <w:autoSpaceDN w:val="0"/>
              <w:spacing w:line="60" w:lineRule="auto"/>
              <w:rPr>
                <w:rFonts w:ascii="Helvetica" w:eastAsia="ＭＳ ゴシック" w:hAnsi="Helvetica" w:cs="Times New Roman"/>
                <w:sz w:val="16"/>
                <w:szCs w:val="16"/>
              </w:rPr>
            </w:pPr>
          </w:p>
        </w:tc>
        <w:tc>
          <w:tcPr>
            <w:tcW w:w="3184" w:type="dxa"/>
            <w:vMerge/>
            <w:vAlign w:val="center"/>
          </w:tcPr>
          <w:p w14:paraId="242D877B" w14:textId="77777777" w:rsidR="0023017F" w:rsidRPr="00C247F2" w:rsidRDefault="0023017F" w:rsidP="0023017F">
            <w:pPr>
              <w:autoSpaceDE w:val="0"/>
              <w:autoSpaceDN w:val="0"/>
              <w:spacing w:line="60" w:lineRule="auto"/>
              <w:jc w:val="center"/>
              <w:rPr>
                <w:rFonts w:ascii="Helvetica" w:hAnsi="Helvetica" w:cs="Times New Roman"/>
                <w:sz w:val="16"/>
                <w:szCs w:val="16"/>
              </w:rPr>
            </w:pPr>
          </w:p>
        </w:tc>
        <w:tc>
          <w:tcPr>
            <w:tcW w:w="1843" w:type="dxa"/>
            <w:shd w:val="clear" w:color="auto" w:fill="D9E2F3" w:themeFill="accent5" w:themeFillTint="33"/>
            <w:vAlign w:val="center"/>
          </w:tcPr>
          <w:p w14:paraId="01B34058" w14:textId="78547462" w:rsidR="0023017F" w:rsidRPr="00C247F2" w:rsidRDefault="0023017F" w:rsidP="0023017F">
            <w:pPr>
              <w:autoSpaceDE w:val="0"/>
              <w:autoSpaceDN w:val="0"/>
              <w:rPr>
                <w:rFonts w:ascii="Helvetica" w:eastAsia="ＭＳ ゴシック" w:hAnsi="Helvetica" w:cs="Times New Roman"/>
                <w:sz w:val="16"/>
                <w:szCs w:val="16"/>
              </w:rPr>
            </w:pPr>
            <w:r w:rsidRPr="00C247F2">
              <w:rPr>
                <w:rFonts w:ascii="Helvetica" w:eastAsia="ＭＳ ゴシック" w:hAnsi="Helvetica" w:cs="Times New Roman"/>
                <w:sz w:val="16"/>
                <w:szCs w:val="16"/>
              </w:rPr>
              <w:t>E-mail</w:t>
            </w:r>
          </w:p>
        </w:tc>
        <w:tc>
          <w:tcPr>
            <w:tcW w:w="3151" w:type="dxa"/>
            <w:vAlign w:val="center"/>
          </w:tcPr>
          <w:p w14:paraId="54B82E75" w14:textId="6911107B" w:rsidR="0023017F" w:rsidRPr="00AE5BEC" w:rsidRDefault="00AE5BEC" w:rsidP="0023017F">
            <w:pPr>
              <w:autoSpaceDE w:val="0"/>
              <w:autoSpaceDN w:val="0"/>
              <w:jc w:val="left"/>
              <w:rPr>
                <w:rFonts w:ascii="Helvetica" w:hAnsi="Helvetica" w:hint="eastAsia"/>
                <w:sz w:val="16"/>
                <w:szCs w:val="16"/>
              </w:rPr>
            </w:pPr>
            <w:r w:rsidRPr="00AE5BEC">
              <w:rPr>
                <w:rFonts w:ascii="Helvetica" w:hAnsi="Helvetica" w:hint="eastAsia"/>
                <w:sz w:val="16"/>
                <w:szCs w:val="16"/>
              </w:rPr>
              <w:t>a</w:t>
            </w:r>
            <w:r w:rsidRPr="00AE5BEC">
              <w:rPr>
                <w:rFonts w:ascii="Helvetica" w:hAnsi="Helvetica"/>
                <w:sz w:val="16"/>
                <w:szCs w:val="16"/>
              </w:rPr>
              <w:t>howard@sky.miyazaki-mic.ac.jp</w:t>
            </w:r>
          </w:p>
        </w:tc>
      </w:tr>
      <w:tr w:rsidR="0023017F" w:rsidRPr="00C247F2" w14:paraId="338CE94E" w14:textId="77777777" w:rsidTr="7F72991C">
        <w:trPr>
          <w:trHeight w:val="446"/>
        </w:trPr>
        <w:tc>
          <w:tcPr>
            <w:tcW w:w="1636" w:type="dxa"/>
            <w:shd w:val="clear" w:color="auto" w:fill="D9E2F3" w:themeFill="accent5" w:themeFillTint="33"/>
            <w:vAlign w:val="center"/>
          </w:tcPr>
          <w:p w14:paraId="54205702" w14:textId="21FCE822" w:rsidR="0023017F" w:rsidRPr="00C247F2" w:rsidRDefault="0023017F" w:rsidP="0023017F">
            <w:pPr>
              <w:autoSpaceDE w:val="0"/>
              <w:autoSpaceDN w:val="0"/>
              <w:spacing w:line="60" w:lineRule="auto"/>
              <w:rPr>
                <w:rFonts w:ascii="Helvetica" w:eastAsia="ＭＳ ゴシック" w:hAnsi="Helvetica" w:cs="Times New Roman"/>
                <w:sz w:val="16"/>
                <w:szCs w:val="16"/>
              </w:rPr>
            </w:pPr>
            <w:r w:rsidRPr="00C247F2">
              <w:rPr>
                <w:rFonts w:ascii="Helvetica" w:eastAsia="ＭＳ ゴシック" w:hAnsi="Helvetica"/>
                <w:sz w:val="16"/>
                <w:szCs w:val="16"/>
              </w:rPr>
              <w:t>Class Format</w:t>
            </w:r>
          </w:p>
        </w:tc>
        <w:tc>
          <w:tcPr>
            <w:tcW w:w="3184" w:type="dxa"/>
            <w:vAlign w:val="center"/>
          </w:tcPr>
          <w:p w14:paraId="77B6CA7B" w14:textId="0708B515" w:rsidR="0023017F" w:rsidRPr="00C247F2" w:rsidRDefault="0023017F" w:rsidP="0023017F">
            <w:pPr>
              <w:autoSpaceDE w:val="0"/>
              <w:autoSpaceDN w:val="0"/>
              <w:jc w:val="left"/>
              <w:rPr>
                <w:rFonts w:ascii="Helvetica" w:hAnsi="Helvetica" w:cs="Times New Roman"/>
                <w:sz w:val="16"/>
                <w:szCs w:val="16"/>
              </w:rPr>
            </w:pPr>
            <w:r w:rsidRPr="00C247F2">
              <w:rPr>
                <w:rFonts w:ascii="Helvetica" w:hAnsi="Helvetica" w:cs="Times New Roman"/>
                <w:sz w:val="16"/>
                <w:szCs w:val="16"/>
              </w:rPr>
              <w:t>Lecture</w:t>
            </w:r>
          </w:p>
        </w:tc>
        <w:tc>
          <w:tcPr>
            <w:tcW w:w="1843" w:type="dxa"/>
            <w:shd w:val="clear" w:color="auto" w:fill="D9E2F3" w:themeFill="accent5" w:themeFillTint="33"/>
            <w:vAlign w:val="center"/>
          </w:tcPr>
          <w:p w14:paraId="3A82B9F5" w14:textId="75AAB956" w:rsidR="0023017F" w:rsidRPr="00C247F2" w:rsidRDefault="0023017F" w:rsidP="0023017F">
            <w:pPr>
              <w:autoSpaceDE w:val="0"/>
              <w:autoSpaceDN w:val="0"/>
              <w:rPr>
                <w:rFonts w:ascii="Helvetica" w:eastAsia="ＭＳ ゴシック" w:hAnsi="Helvetica" w:cs="Times New Roman"/>
                <w:sz w:val="16"/>
                <w:szCs w:val="16"/>
              </w:rPr>
            </w:pPr>
            <w:r w:rsidRPr="00C247F2">
              <w:rPr>
                <w:rFonts w:ascii="Helvetica" w:eastAsia="ＭＳ ゴシック" w:hAnsi="Helvetica" w:cs="Times New Roman"/>
                <w:color w:val="000000" w:themeColor="text1"/>
                <w:sz w:val="16"/>
                <w:szCs w:val="16"/>
              </w:rPr>
              <w:t>Office Hours</w:t>
            </w:r>
          </w:p>
        </w:tc>
        <w:tc>
          <w:tcPr>
            <w:tcW w:w="3151" w:type="dxa"/>
            <w:vAlign w:val="center"/>
          </w:tcPr>
          <w:p w14:paraId="74170E4F" w14:textId="090604D1" w:rsidR="0023017F" w:rsidRPr="00AE5BEC" w:rsidRDefault="00AE5BEC" w:rsidP="0023017F">
            <w:pPr>
              <w:autoSpaceDE w:val="0"/>
              <w:autoSpaceDN w:val="0"/>
              <w:jc w:val="left"/>
              <w:rPr>
                <w:rFonts w:ascii="Times New Roman" w:hAnsi="Times New Roman" w:cs="Times New Roman"/>
                <w:sz w:val="16"/>
                <w:szCs w:val="16"/>
              </w:rPr>
            </w:pPr>
            <w:r w:rsidRPr="00AE5BEC">
              <w:rPr>
                <w:rFonts w:ascii="Helvetica" w:eastAsia="ＭＳ ゴシック" w:hAnsi="Helvetica" w:cs="Times New Roman"/>
                <w:sz w:val="16"/>
                <w:szCs w:val="16"/>
              </w:rPr>
              <w:t>MW 3:45-5:15</w:t>
            </w:r>
          </w:p>
        </w:tc>
      </w:tr>
      <w:tr w:rsidR="0023017F" w:rsidRPr="00C247F2" w14:paraId="572317D9" w14:textId="77777777" w:rsidTr="7F72991C">
        <w:trPr>
          <w:trHeight w:val="446"/>
        </w:trPr>
        <w:tc>
          <w:tcPr>
            <w:tcW w:w="1636" w:type="dxa"/>
            <w:shd w:val="clear" w:color="auto" w:fill="D9E2F3" w:themeFill="accent5" w:themeFillTint="33"/>
            <w:vAlign w:val="center"/>
          </w:tcPr>
          <w:p w14:paraId="3FDF31DF" w14:textId="23EAE058" w:rsidR="0023017F" w:rsidRPr="00C247F2" w:rsidRDefault="0023017F" w:rsidP="0023017F">
            <w:pPr>
              <w:autoSpaceDE w:val="0"/>
              <w:autoSpaceDN w:val="0"/>
              <w:spacing w:line="60" w:lineRule="auto"/>
              <w:rPr>
                <w:rFonts w:ascii="Helvetica" w:eastAsia="ＭＳ ゴシック" w:hAnsi="Helvetica" w:cs="Times New Roman"/>
                <w:sz w:val="16"/>
                <w:szCs w:val="16"/>
              </w:rPr>
            </w:pPr>
            <w:r w:rsidRPr="00C247F2">
              <w:rPr>
                <w:rFonts w:ascii="Helvetica" w:eastAsia="ＭＳ ゴシック" w:hAnsi="Helvetica"/>
                <w:sz w:val="16"/>
                <w:szCs w:val="16"/>
              </w:rPr>
              <w:t>Track</w:t>
            </w:r>
          </w:p>
        </w:tc>
        <w:tc>
          <w:tcPr>
            <w:tcW w:w="3184" w:type="dxa"/>
            <w:vAlign w:val="center"/>
          </w:tcPr>
          <w:p w14:paraId="70891E5C" w14:textId="02CE1391" w:rsidR="0023017F" w:rsidRPr="00C247F2" w:rsidRDefault="0023017F" w:rsidP="0023017F">
            <w:pPr>
              <w:autoSpaceDE w:val="0"/>
              <w:autoSpaceDN w:val="0"/>
              <w:jc w:val="left"/>
              <w:rPr>
                <w:rFonts w:ascii="Helvetica" w:hAnsi="Helvetica" w:cs="Times New Roman"/>
                <w:sz w:val="16"/>
                <w:szCs w:val="16"/>
              </w:rPr>
            </w:pPr>
            <w:r w:rsidRPr="00C247F2">
              <w:rPr>
                <w:rFonts w:ascii="Helvetica" w:hAnsi="Helvetica" w:cs="Times New Roman"/>
                <w:sz w:val="16"/>
                <w:szCs w:val="16"/>
              </w:rPr>
              <w:t>All tracks</w:t>
            </w:r>
          </w:p>
        </w:tc>
        <w:tc>
          <w:tcPr>
            <w:tcW w:w="1843" w:type="dxa"/>
            <w:shd w:val="clear" w:color="auto" w:fill="D9E2F3" w:themeFill="accent5" w:themeFillTint="33"/>
            <w:vAlign w:val="center"/>
          </w:tcPr>
          <w:p w14:paraId="0940A7AC" w14:textId="77777777" w:rsidR="0023017F" w:rsidRPr="00C247F2" w:rsidRDefault="0023017F" w:rsidP="0023017F">
            <w:pPr>
              <w:autoSpaceDE w:val="0"/>
              <w:autoSpaceDN w:val="0"/>
              <w:rPr>
                <w:rFonts w:ascii="Helvetica" w:eastAsia="ＭＳ ゴシック" w:hAnsi="Helvetica" w:cs="Times New Roman"/>
                <w:sz w:val="16"/>
                <w:szCs w:val="16"/>
                <w:lang w:val="fr-FR"/>
              </w:rPr>
            </w:pPr>
            <w:r w:rsidRPr="00C247F2">
              <w:rPr>
                <w:rFonts w:ascii="Helvetica" w:eastAsia="ＭＳ ゴシック" w:hAnsi="Helvetica" w:cs="Times New Roman"/>
                <w:sz w:val="16"/>
                <w:szCs w:val="16"/>
                <w:lang w:val="fr-FR"/>
              </w:rPr>
              <w:t>Mode of Instruction</w:t>
            </w:r>
          </w:p>
          <w:p w14:paraId="575EB445" w14:textId="0F246CDF" w:rsidR="0023017F" w:rsidRPr="00C247F2" w:rsidRDefault="0023017F" w:rsidP="0023017F">
            <w:pPr>
              <w:autoSpaceDE w:val="0"/>
              <w:autoSpaceDN w:val="0"/>
              <w:rPr>
                <w:rFonts w:ascii="Helvetica" w:eastAsia="ＭＳ ゴシック" w:hAnsi="Helvetica" w:cs="Times New Roman"/>
                <w:sz w:val="16"/>
                <w:szCs w:val="16"/>
                <w:lang w:val="fr-FR"/>
              </w:rPr>
            </w:pPr>
            <w:r w:rsidRPr="00C247F2">
              <w:rPr>
                <w:rFonts w:ascii="Helvetica" w:eastAsia="ＭＳ ゴシック" w:hAnsi="Helvetica" w:cs="Times New Roman"/>
                <w:sz w:val="16"/>
                <w:szCs w:val="16"/>
                <w:lang w:val="fr-FR"/>
              </w:rPr>
              <w:t>(Solo / Omnibus)</w:t>
            </w:r>
          </w:p>
        </w:tc>
        <w:tc>
          <w:tcPr>
            <w:tcW w:w="3151" w:type="dxa"/>
            <w:vAlign w:val="center"/>
          </w:tcPr>
          <w:p w14:paraId="6F8B8967" w14:textId="67425DD8" w:rsidR="0023017F" w:rsidRPr="00C247F2" w:rsidRDefault="0023017F" w:rsidP="0023017F">
            <w:pPr>
              <w:autoSpaceDE w:val="0"/>
              <w:autoSpaceDN w:val="0"/>
              <w:jc w:val="left"/>
              <w:rPr>
                <w:rFonts w:ascii="Helvetica" w:hAnsi="Helvetica" w:cs="Times New Roman"/>
                <w:sz w:val="16"/>
                <w:szCs w:val="16"/>
              </w:rPr>
            </w:pPr>
            <w:r w:rsidRPr="00C247F2">
              <w:rPr>
                <w:rFonts w:ascii="Helvetica" w:hAnsi="Helvetica" w:cs="Times New Roman"/>
                <w:sz w:val="16"/>
                <w:szCs w:val="16"/>
              </w:rPr>
              <w:t>Solo</w:t>
            </w:r>
          </w:p>
        </w:tc>
      </w:tr>
      <w:tr w:rsidR="0023017F" w:rsidRPr="00C247F2" w14:paraId="4C5F84CA" w14:textId="77777777" w:rsidTr="7F72991C">
        <w:trPr>
          <w:trHeight w:val="385"/>
        </w:trPr>
        <w:tc>
          <w:tcPr>
            <w:tcW w:w="1636" w:type="dxa"/>
            <w:shd w:val="clear" w:color="auto" w:fill="D9E2F3" w:themeFill="accent5" w:themeFillTint="33"/>
            <w:vAlign w:val="center"/>
          </w:tcPr>
          <w:p w14:paraId="7856BB2B" w14:textId="506EF60C" w:rsidR="0023017F" w:rsidRPr="00C247F2" w:rsidRDefault="0023017F" w:rsidP="0023017F">
            <w:pPr>
              <w:autoSpaceDE w:val="0"/>
              <w:autoSpaceDN w:val="0"/>
              <w:spacing w:line="60" w:lineRule="auto"/>
              <w:rPr>
                <w:rFonts w:ascii="Helvetica" w:eastAsia="ＭＳ ゴシック" w:hAnsi="Helvetica" w:cs="Times New Roman"/>
                <w:sz w:val="16"/>
                <w:szCs w:val="16"/>
              </w:rPr>
            </w:pPr>
            <w:r w:rsidRPr="00C247F2">
              <w:rPr>
                <w:rFonts w:ascii="Helvetica" w:eastAsia="ＭＳ ゴシック" w:hAnsi="Helvetica" w:cs="Times New Roman"/>
                <w:sz w:val="16"/>
                <w:szCs w:val="16"/>
              </w:rPr>
              <w:t>Credits</w:t>
            </w:r>
          </w:p>
        </w:tc>
        <w:tc>
          <w:tcPr>
            <w:tcW w:w="3184" w:type="dxa"/>
            <w:vAlign w:val="center"/>
          </w:tcPr>
          <w:p w14:paraId="32574A92" w14:textId="7A7327FB" w:rsidR="0023017F" w:rsidRPr="00C247F2" w:rsidRDefault="0023017F" w:rsidP="0023017F">
            <w:pPr>
              <w:autoSpaceDE w:val="0"/>
              <w:autoSpaceDN w:val="0"/>
              <w:rPr>
                <w:rFonts w:ascii="Helvetica" w:hAnsi="Helvetica" w:cs="Times New Roman"/>
                <w:sz w:val="16"/>
                <w:szCs w:val="16"/>
              </w:rPr>
            </w:pPr>
            <w:r w:rsidRPr="00C247F2">
              <w:rPr>
                <w:rFonts w:ascii="Helvetica" w:hAnsi="Helvetica" w:cs="Times New Roman"/>
                <w:sz w:val="16"/>
                <w:szCs w:val="16"/>
              </w:rPr>
              <w:t>4</w:t>
            </w:r>
            <w:r w:rsidR="00437BD4" w:rsidRPr="00C247F2">
              <w:rPr>
                <w:rFonts w:ascii="Helvetica" w:hAnsi="Helvetica" w:cs="Times New Roman"/>
                <w:sz w:val="16"/>
                <w:szCs w:val="16"/>
              </w:rPr>
              <w:t xml:space="preserve"> </w:t>
            </w:r>
          </w:p>
        </w:tc>
        <w:tc>
          <w:tcPr>
            <w:tcW w:w="1843" w:type="dxa"/>
            <w:shd w:val="clear" w:color="auto" w:fill="D9E2F3" w:themeFill="accent5" w:themeFillTint="33"/>
            <w:vAlign w:val="center"/>
          </w:tcPr>
          <w:p w14:paraId="59D496E2" w14:textId="61D5CC56" w:rsidR="0023017F" w:rsidRPr="00C247F2" w:rsidRDefault="0023017F" w:rsidP="0023017F">
            <w:pPr>
              <w:autoSpaceDE w:val="0"/>
              <w:autoSpaceDN w:val="0"/>
              <w:rPr>
                <w:rFonts w:ascii="Helvetica" w:hAnsi="Helvetica" w:cs="Times New Roman"/>
                <w:sz w:val="16"/>
                <w:szCs w:val="16"/>
              </w:rPr>
            </w:pPr>
            <w:r w:rsidRPr="00C247F2">
              <w:rPr>
                <w:rFonts w:ascii="Helvetica" w:eastAsia="ＭＳ ゴシック" w:hAnsi="Helvetica"/>
                <w:sz w:val="16"/>
                <w:szCs w:val="16"/>
              </w:rPr>
              <w:t>Allocated Year</w:t>
            </w:r>
          </w:p>
        </w:tc>
        <w:tc>
          <w:tcPr>
            <w:tcW w:w="3151" w:type="dxa"/>
            <w:vAlign w:val="center"/>
          </w:tcPr>
          <w:p w14:paraId="14639BDF" w14:textId="1D7428C7" w:rsidR="0023017F" w:rsidRPr="00C247F2" w:rsidRDefault="0023017F" w:rsidP="0023017F">
            <w:pPr>
              <w:autoSpaceDE w:val="0"/>
              <w:autoSpaceDN w:val="0"/>
              <w:jc w:val="left"/>
              <w:rPr>
                <w:rFonts w:ascii="Helvetica" w:hAnsi="Helvetica" w:cs="Times New Roman"/>
                <w:sz w:val="16"/>
                <w:szCs w:val="16"/>
              </w:rPr>
            </w:pPr>
            <w:r w:rsidRPr="00C247F2">
              <w:rPr>
                <w:rFonts w:ascii="Helvetica" w:hAnsi="Helvetica" w:cs="Times New Roman"/>
                <w:sz w:val="16"/>
                <w:szCs w:val="16"/>
              </w:rPr>
              <w:t>Every semester</w:t>
            </w:r>
            <w:r w:rsidR="00437BD4" w:rsidRPr="00C247F2">
              <w:rPr>
                <w:rFonts w:ascii="Helvetica" w:hAnsi="Helvetica" w:cs="Times New Roman"/>
                <w:sz w:val="16"/>
                <w:szCs w:val="16"/>
              </w:rPr>
              <w:t xml:space="preserve"> </w:t>
            </w:r>
          </w:p>
        </w:tc>
      </w:tr>
      <w:tr w:rsidR="0023017F" w:rsidRPr="00C247F2" w14:paraId="303390FC" w14:textId="77777777" w:rsidTr="7F72991C">
        <w:trPr>
          <w:trHeight w:val="501"/>
        </w:trPr>
        <w:tc>
          <w:tcPr>
            <w:tcW w:w="4820" w:type="dxa"/>
            <w:gridSpan w:val="2"/>
            <w:shd w:val="clear" w:color="auto" w:fill="D9E2F3" w:themeFill="accent5" w:themeFillTint="33"/>
            <w:vAlign w:val="center"/>
          </w:tcPr>
          <w:p w14:paraId="0C21761C" w14:textId="77777777" w:rsidR="0023017F" w:rsidRPr="00C247F2" w:rsidRDefault="0023017F" w:rsidP="0023017F">
            <w:pPr>
              <w:autoSpaceDE w:val="0"/>
              <w:autoSpaceDN w:val="0"/>
              <w:ind w:firstLineChars="100" w:firstLine="160"/>
              <w:rPr>
                <w:rFonts w:ascii="Helvetica" w:hAnsi="Helvetica" w:cs="Times New Roman"/>
                <w:sz w:val="16"/>
                <w:szCs w:val="16"/>
              </w:rPr>
            </w:pPr>
          </w:p>
        </w:tc>
        <w:tc>
          <w:tcPr>
            <w:tcW w:w="1843" w:type="dxa"/>
            <w:shd w:val="clear" w:color="auto" w:fill="D9E2F3" w:themeFill="accent5" w:themeFillTint="33"/>
            <w:vAlign w:val="center"/>
          </w:tcPr>
          <w:p w14:paraId="447BEF5E" w14:textId="77777777" w:rsidR="0023017F" w:rsidRPr="00C247F2" w:rsidRDefault="0023017F" w:rsidP="0023017F">
            <w:pPr>
              <w:autoSpaceDE w:val="0"/>
              <w:autoSpaceDN w:val="0"/>
              <w:rPr>
                <w:rFonts w:ascii="Helvetica" w:eastAsia="ＭＳ ゴシック" w:hAnsi="Helvetica" w:cs="Times New Roman"/>
                <w:sz w:val="16"/>
                <w:szCs w:val="16"/>
              </w:rPr>
            </w:pPr>
            <w:r w:rsidRPr="00C247F2">
              <w:rPr>
                <w:rFonts w:ascii="Helvetica" w:eastAsia="ＭＳ ゴシック" w:hAnsi="Helvetica" w:cs="Times New Roman"/>
                <w:sz w:val="16"/>
                <w:szCs w:val="16"/>
              </w:rPr>
              <w:t xml:space="preserve">Compulsory or </w:t>
            </w:r>
          </w:p>
          <w:p w14:paraId="7ABCBFD3" w14:textId="793FE408" w:rsidR="0023017F" w:rsidRPr="00C247F2" w:rsidRDefault="0023017F" w:rsidP="0023017F">
            <w:pPr>
              <w:autoSpaceDE w:val="0"/>
              <w:autoSpaceDN w:val="0"/>
              <w:rPr>
                <w:rFonts w:ascii="Helvetica" w:eastAsia="ＭＳ ゴシック" w:hAnsi="Helvetica" w:cs="Times New Roman"/>
                <w:color w:val="D9E2F3" w:themeColor="accent5" w:themeTint="33"/>
                <w:sz w:val="16"/>
                <w:szCs w:val="16"/>
              </w:rPr>
            </w:pPr>
            <w:r w:rsidRPr="00C247F2">
              <w:rPr>
                <w:rFonts w:ascii="Helvetica" w:eastAsia="ＭＳ ゴシック" w:hAnsi="Helvetica" w:cs="Times New Roman"/>
                <w:sz w:val="16"/>
                <w:szCs w:val="16"/>
              </w:rPr>
              <w:t xml:space="preserve">Elective </w:t>
            </w:r>
          </w:p>
        </w:tc>
        <w:tc>
          <w:tcPr>
            <w:tcW w:w="3151" w:type="dxa"/>
            <w:vAlign w:val="center"/>
          </w:tcPr>
          <w:p w14:paraId="31C3662D" w14:textId="37F2C33D" w:rsidR="0023017F" w:rsidRPr="00C247F2" w:rsidRDefault="005B3587" w:rsidP="008F70E3">
            <w:pPr>
              <w:autoSpaceDE w:val="0"/>
              <w:autoSpaceDN w:val="0"/>
              <w:jc w:val="left"/>
              <w:rPr>
                <w:rFonts w:ascii="Helvetica" w:hAnsi="Helvetica" w:cs="Times New Roman"/>
                <w:sz w:val="16"/>
                <w:szCs w:val="16"/>
              </w:rPr>
            </w:pPr>
            <w:r w:rsidRPr="00C247F2">
              <w:rPr>
                <w:rFonts w:ascii="Helvetica" w:hAnsi="Helvetica" w:cs="Times New Roman"/>
                <w:sz w:val="16"/>
                <w:szCs w:val="16"/>
              </w:rPr>
              <w:t>C</w:t>
            </w:r>
            <w:r w:rsidR="008F70E3" w:rsidRPr="00C247F2">
              <w:rPr>
                <w:rFonts w:ascii="Helvetica" w:hAnsi="Helvetica" w:cs="Times New Roman"/>
                <w:sz w:val="16"/>
                <w:szCs w:val="16"/>
              </w:rPr>
              <w:t>ompulsory</w:t>
            </w:r>
          </w:p>
        </w:tc>
      </w:tr>
      <w:tr w:rsidR="00C05FF8" w:rsidRPr="00C247F2" w14:paraId="17598A17" w14:textId="77777777" w:rsidTr="7F72991C">
        <w:trPr>
          <w:trHeight w:val="768"/>
        </w:trPr>
        <w:tc>
          <w:tcPr>
            <w:tcW w:w="1636" w:type="dxa"/>
            <w:shd w:val="clear" w:color="auto" w:fill="D9E2F3" w:themeFill="accent5" w:themeFillTint="33"/>
            <w:vAlign w:val="center"/>
          </w:tcPr>
          <w:p w14:paraId="1511EF32" w14:textId="2E672D66" w:rsidR="00C05FF8" w:rsidRPr="00C247F2" w:rsidRDefault="00C05FF8" w:rsidP="00C05FF8">
            <w:pPr>
              <w:autoSpaceDE w:val="0"/>
              <w:autoSpaceDN w:val="0"/>
              <w:spacing w:line="60" w:lineRule="auto"/>
              <w:rPr>
                <w:rFonts w:ascii="Helvetica" w:eastAsia="ＭＳ ゴシック" w:hAnsi="Helvetica"/>
                <w:sz w:val="16"/>
                <w:szCs w:val="16"/>
              </w:rPr>
            </w:pPr>
          </w:p>
          <w:p w14:paraId="5DCD2765" w14:textId="147950A7" w:rsidR="00822335" w:rsidRPr="00C247F2" w:rsidRDefault="009F3088" w:rsidP="00C05FF8">
            <w:pPr>
              <w:autoSpaceDE w:val="0"/>
              <w:autoSpaceDN w:val="0"/>
              <w:spacing w:line="60" w:lineRule="auto"/>
              <w:rPr>
                <w:rFonts w:ascii="Helvetica" w:eastAsia="ＭＳ ゴシック" w:hAnsi="Helvetica" w:cs="Times New Roman"/>
                <w:sz w:val="16"/>
                <w:szCs w:val="16"/>
              </w:rPr>
            </w:pPr>
            <w:r w:rsidRPr="00C247F2">
              <w:rPr>
                <w:rFonts w:ascii="Helvetica" w:eastAsia="ＭＳ ゴシック" w:hAnsi="Helvetica"/>
                <w:sz w:val="16"/>
                <w:szCs w:val="16"/>
              </w:rPr>
              <w:t>Course Overview</w:t>
            </w:r>
          </w:p>
        </w:tc>
        <w:tc>
          <w:tcPr>
            <w:tcW w:w="8178" w:type="dxa"/>
            <w:gridSpan w:val="3"/>
            <w:vAlign w:val="center"/>
          </w:tcPr>
          <w:p w14:paraId="184E8539" w14:textId="5D91167D" w:rsidR="00420D2A" w:rsidRPr="00C247F2" w:rsidRDefault="007B59A7" w:rsidP="00692FF0">
            <w:pPr>
              <w:pStyle w:val="NormalWeb"/>
              <w:shd w:val="clear" w:color="auto" w:fill="FFFFFF"/>
              <w:rPr>
                <w:rFonts w:ascii="Helvetica" w:hAnsi="Helvetica"/>
                <w:sz w:val="16"/>
                <w:szCs w:val="16"/>
                <w:lang w:val="en-CA"/>
              </w:rPr>
            </w:pPr>
            <w:r w:rsidRPr="00C247F2">
              <w:rPr>
                <w:rFonts w:ascii="Helvetica" w:hAnsi="Helvetica"/>
                <w:sz w:val="16"/>
                <w:szCs w:val="16"/>
              </w:rPr>
              <w:t>Academic English (AE)</w:t>
            </w:r>
            <w:r w:rsidR="00CC0C34" w:rsidRPr="00C247F2">
              <w:rPr>
                <w:rFonts w:ascii="Helvetica" w:hAnsi="Helvetica"/>
                <w:sz w:val="16"/>
                <w:szCs w:val="16"/>
              </w:rPr>
              <w:t xml:space="preserve"> is a four-skills course </w:t>
            </w:r>
            <w:r w:rsidR="00420D2A" w:rsidRPr="00C247F2">
              <w:rPr>
                <w:rFonts w:ascii="Helvetica" w:hAnsi="Helvetica"/>
                <w:sz w:val="16"/>
                <w:szCs w:val="16"/>
                <w:lang w:val="en-CA"/>
              </w:rPr>
              <w:t xml:space="preserve">focussing on </w:t>
            </w:r>
            <w:r w:rsidR="00420D2A" w:rsidRPr="00C247F2">
              <w:rPr>
                <w:rFonts w:ascii="Helvetica" w:hAnsi="Helvetica"/>
                <w:i/>
                <w:iCs/>
                <w:sz w:val="16"/>
                <w:szCs w:val="16"/>
              </w:rPr>
              <w:t>Cognitive Academic Language Proficiency</w:t>
            </w:r>
            <w:r w:rsidR="00420D2A" w:rsidRPr="00C247F2">
              <w:rPr>
                <w:rFonts w:ascii="Helvetica" w:hAnsi="Helvetica"/>
                <w:sz w:val="16"/>
                <w:szCs w:val="16"/>
              </w:rPr>
              <w:t xml:space="preserve"> (CALP), or academic proficiency</w:t>
            </w:r>
            <w:r w:rsidR="00A72ACD" w:rsidRPr="00C247F2">
              <w:rPr>
                <w:rFonts w:ascii="Helvetica" w:hAnsi="Helvetica"/>
                <w:sz w:val="16"/>
                <w:szCs w:val="16"/>
                <w:lang w:val="en-CA"/>
              </w:rPr>
              <w:t xml:space="preserve"> (see references below)</w:t>
            </w:r>
            <w:r w:rsidR="00420D2A" w:rsidRPr="00C247F2">
              <w:rPr>
                <w:rFonts w:ascii="Helvetica" w:hAnsi="Helvetica"/>
                <w:sz w:val="16"/>
                <w:szCs w:val="16"/>
              </w:rPr>
              <w:t xml:space="preserve">. </w:t>
            </w:r>
            <w:r w:rsidR="00420D2A" w:rsidRPr="00C247F2">
              <w:rPr>
                <w:rFonts w:ascii="Helvetica" w:hAnsi="Helvetica"/>
                <w:sz w:val="16"/>
                <w:szCs w:val="16"/>
                <w:lang w:val="en-CA"/>
              </w:rPr>
              <w:t>The course</w:t>
            </w:r>
            <w:r w:rsidR="009E2EC4" w:rsidRPr="00C247F2">
              <w:rPr>
                <w:rFonts w:ascii="Helvetica" w:hAnsi="Helvetica"/>
                <w:sz w:val="16"/>
                <w:szCs w:val="16"/>
                <w:lang w:val="en-CA"/>
              </w:rPr>
              <w:t>s</w:t>
            </w:r>
            <w:r w:rsidR="00420D2A" w:rsidRPr="00C247F2">
              <w:rPr>
                <w:rFonts w:ascii="Helvetica" w:hAnsi="Helvetica"/>
                <w:sz w:val="16"/>
                <w:szCs w:val="16"/>
                <w:lang w:val="en-CA"/>
              </w:rPr>
              <w:t xml:space="preserve"> </w:t>
            </w:r>
            <w:r w:rsidR="009E2EC4" w:rsidRPr="00C247F2">
              <w:rPr>
                <w:rFonts w:ascii="Helvetica" w:hAnsi="Helvetica"/>
                <w:sz w:val="16"/>
                <w:szCs w:val="16"/>
                <w:lang w:val="en-CA"/>
              </w:rPr>
              <w:t>are</w:t>
            </w:r>
            <w:r w:rsidR="005B3587" w:rsidRPr="00C247F2">
              <w:rPr>
                <w:rFonts w:ascii="Helvetica" w:hAnsi="Helvetica"/>
                <w:sz w:val="16"/>
                <w:szCs w:val="16"/>
              </w:rPr>
              <w:t xml:space="preserve"> </w:t>
            </w:r>
            <w:r w:rsidRPr="00C247F2">
              <w:rPr>
                <w:rFonts w:ascii="Helvetica" w:hAnsi="Helvetica"/>
                <w:sz w:val="16"/>
                <w:szCs w:val="16"/>
              </w:rPr>
              <w:t>offered</w:t>
            </w:r>
            <w:r w:rsidR="00CC0C34" w:rsidRPr="00C247F2">
              <w:rPr>
                <w:rFonts w:ascii="Helvetica" w:hAnsi="Helvetica"/>
                <w:sz w:val="16"/>
                <w:szCs w:val="16"/>
              </w:rPr>
              <w:t xml:space="preserve"> every semeste</w:t>
            </w:r>
            <w:r w:rsidRPr="00C247F2">
              <w:rPr>
                <w:rFonts w:ascii="Helvetica" w:hAnsi="Helvetica"/>
                <w:sz w:val="16"/>
                <w:szCs w:val="16"/>
              </w:rPr>
              <w:t>r at different</w:t>
            </w:r>
            <w:r w:rsidR="005B3587" w:rsidRPr="00C247F2">
              <w:rPr>
                <w:rFonts w:ascii="Helvetica" w:hAnsi="Helvetica"/>
                <w:sz w:val="16"/>
                <w:szCs w:val="16"/>
              </w:rPr>
              <w:t xml:space="preserve"> </w:t>
            </w:r>
            <w:r w:rsidRPr="00C247F2">
              <w:rPr>
                <w:rFonts w:ascii="Helvetica" w:hAnsi="Helvetica"/>
                <w:sz w:val="16"/>
                <w:szCs w:val="16"/>
              </w:rPr>
              <w:t xml:space="preserve">CEFR levels. </w:t>
            </w:r>
          </w:p>
        </w:tc>
      </w:tr>
      <w:tr w:rsidR="00C05FF8" w:rsidRPr="00C247F2" w14:paraId="5BB4E7FA" w14:textId="77777777" w:rsidTr="7F72991C">
        <w:trPr>
          <w:trHeight w:val="1297"/>
        </w:trPr>
        <w:tc>
          <w:tcPr>
            <w:tcW w:w="1636" w:type="dxa"/>
            <w:shd w:val="clear" w:color="auto" w:fill="D9E2F3" w:themeFill="accent5" w:themeFillTint="33"/>
            <w:vAlign w:val="center"/>
          </w:tcPr>
          <w:p w14:paraId="03BCE0C5" w14:textId="77777777" w:rsidR="009F3088" w:rsidRPr="00C247F2" w:rsidRDefault="009F3088" w:rsidP="00C05FF8">
            <w:pPr>
              <w:autoSpaceDE w:val="0"/>
              <w:autoSpaceDN w:val="0"/>
              <w:spacing w:line="60" w:lineRule="auto"/>
              <w:rPr>
                <w:rFonts w:ascii="Helvetica" w:eastAsia="ＭＳ ゴシック" w:hAnsi="Helvetica"/>
                <w:sz w:val="16"/>
                <w:szCs w:val="16"/>
              </w:rPr>
            </w:pPr>
            <w:r w:rsidRPr="00C247F2">
              <w:rPr>
                <w:rFonts w:ascii="Helvetica" w:eastAsia="ＭＳ ゴシック" w:hAnsi="Helvetica"/>
                <w:sz w:val="16"/>
                <w:szCs w:val="16"/>
              </w:rPr>
              <w:t xml:space="preserve">Course </w:t>
            </w:r>
          </w:p>
          <w:p w14:paraId="6113588A" w14:textId="231BFCC5" w:rsidR="00822335" w:rsidRPr="00C247F2" w:rsidRDefault="009F3088" w:rsidP="00C05FF8">
            <w:pPr>
              <w:autoSpaceDE w:val="0"/>
              <w:autoSpaceDN w:val="0"/>
              <w:spacing w:line="60" w:lineRule="auto"/>
              <w:rPr>
                <w:rFonts w:ascii="Helvetica" w:eastAsia="ＭＳ ゴシック" w:hAnsi="Helvetica" w:cs="Times New Roman"/>
                <w:sz w:val="16"/>
                <w:szCs w:val="16"/>
              </w:rPr>
            </w:pPr>
            <w:r w:rsidRPr="00C247F2">
              <w:rPr>
                <w:rFonts w:ascii="Helvetica" w:eastAsia="ＭＳ ゴシック" w:hAnsi="Helvetica"/>
                <w:sz w:val="16"/>
                <w:szCs w:val="16"/>
              </w:rPr>
              <w:t>Objectives</w:t>
            </w:r>
          </w:p>
        </w:tc>
        <w:tc>
          <w:tcPr>
            <w:tcW w:w="8178" w:type="dxa"/>
            <w:gridSpan w:val="3"/>
          </w:tcPr>
          <w:p w14:paraId="1A4171BC" w14:textId="7ADAD038" w:rsidR="009E2EC4" w:rsidRPr="00C247F2" w:rsidRDefault="1E7FCED0" w:rsidP="1E7FCED0">
            <w:pPr>
              <w:autoSpaceDE w:val="0"/>
              <w:autoSpaceDN w:val="0"/>
              <w:jc w:val="left"/>
              <w:rPr>
                <w:rFonts w:ascii="Helvetica" w:eastAsia="Helvetica" w:hAnsi="Helvetica" w:cs="Helvetica"/>
                <w:color w:val="000000" w:themeColor="text1"/>
                <w:sz w:val="16"/>
                <w:szCs w:val="16"/>
              </w:rPr>
            </w:pPr>
            <w:r w:rsidRPr="1E7FCED0">
              <w:rPr>
                <w:rFonts w:ascii="Helvetica" w:hAnsi="Helvetica" w:cs="Times New Roman"/>
                <w:sz w:val="16"/>
                <w:szCs w:val="16"/>
              </w:rPr>
              <w:t xml:space="preserve">The ultimate objective of AE courses is to prepare students for upper division courses at MIC. Students must achieve minimum scores on standardized exams from outside bodies </w:t>
            </w:r>
            <w:proofErr w:type="gramStart"/>
            <w:r w:rsidRPr="1E7FCED0">
              <w:rPr>
                <w:rFonts w:ascii="Helvetica" w:hAnsi="Helvetica" w:cs="Times New Roman"/>
                <w:sz w:val="16"/>
                <w:szCs w:val="16"/>
              </w:rPr>
              <w:t>in order to</w:t>
            </w:r>
            <w:proofErr w:type="gramEnd"/>
            <w:r w:rsidRPr="1E7FCED0">
              <w:rPr>
                <w:rFonts w:ascii="Helvetica" w:hAnsi="Helvetica" w:cs="Times New Roman"/>
                <w:sz w:val="16"/>
                <w:szCs w:val="16"/>
              </w:rPr>
              <w:t xml:space="preserve"> proceed to their junior year. This typically requires successfully taking three AE courses. Specific targets in writing, grammar, reading, and spoken skills are outlined in the </w:t>
            </w:r>
            <w:r w:rsidRPr="1E7FCED0">
              <w:rPr>
                <w:rFonts w:ascii="Helvetica" w:hAnsi="Helvetica" w:cs="Times New Roman"/>
                <w:b/>
                <w:bCs/>
                <w:color w:val="000000" w:themeColor="text1"/>
                <w:sz w:val="16"/>
                <w:szCs w:val="16"/>
              </w:rPr>
              <w:t xml:space="preserve">Academic English (AE) Schedule (scope and sequence) for each course/CEFR level. </w:t>
            </w:r>
            <w:r w:rsidRPr="1E7FCED0">
              <w:rPr>
                <w:rFonts w:ascii="Helvetica" w:eastAsia="Helvetica" w:hAnsi="Helvetica" w:cs="Helvetica"/>
                <w:color w:val="000000" w:themeColor="text1"/>
                <w:sz w:val="16"/>
                <w:szCs w:val="16"/>
              </w:rPr>
              <w:t>By the end of each course, students will have mastered the knowledge and skills specified in the prescribed textbook.</w:t>
            </w:r>
          </w:p>
        </w:tc>
      </w:tr>
      <w:tr w:rsidR="009F3088" w:rsidRPr="00C247F2" w14:paraId="15CE7E7E" w14:textId="77777777" w:rsidTr="7F72991C">
        <w:trPr>
          <w:trHeight w:val="362"/>
        </w:trPr>
        <w:tc>
          <w:tcPr>
            <w:tcW w:w="1636" w:type="dxa"/>
            <w:shd w:val="clear" w:color="auto" w:fill="D9E2F3" w:themeFill="accent5" w:themeFillTint="33"/>
            <w:vAlign w:val="center"/>
          </w:tcPr>
          <w:p w14:paraId="463441E1" w14:textId="36D33AA7" w:rsidR="009F3088" w:rsidRPr="00C247F2" w:rsidRDefault="009F3088" w:rsidP="00C05FF8">
            <w:pPr>
              <w:autoSpaceDE w:val="0"/>
              <w:autoSpaceDN w:val="0"/>
              <w:spacing w:line="60" w:lineRule="auto"/>
              <w:rPr>
                <w:rFonts w:ascii="Helvetica" w:eastAsia="ＭＳ ゴシック" w:hAnsi="Helvetica" w:cs="Times New Roman"/>
                <w:sz w:val="16"/>
                <w:szCs w:val="16"/>
              </w:rPr>
            </w:pPr>
            <w:r w:rsidRPr="00C247F2">
              <w:rPr>
                <w:rFonts w:ascii="Helvetica" w:eastAsia="ＭＳ ゴシック" w:hAnsi="Helvetica"/>
                <w:sz w:val="16"/>
                <w:szCs w:val="16"/>
              </w:rPr>
              <w:t>Prerequisites</w:t>
            </w:r>
          </w:p>
        </w:tc>
        <w:tc>
          <w:tcPr>
            <w:tcW w:w="8178" w:type="dxa"/>
            <w:gridSpan w:val="3"/>
            <w:vAlign w:val="center"/>
          </w:tcPr>
          <w:p w14:paraId="3F11F0A3" w14:textId="2540DBD4" w:rsidR="00A46258" w:rsidRPr="00C247F2" w:rsidRDefault="00A46258" w:rsidP="00692FF0">
            <w:pPr>
              <w:autoSpaceDE w:val="0"/>
              <w:autoSpaceDN w:val="0"/>
              <w:jc w:val="left"/>
              <w:rPr>
                <w:rFonts w:ascii="Helvetica" w:hAnsi="Helvetica" w:cs="Times New Roman"/>
                <w:sz w:val="16"/>
                <w:szCs w:val="16"/>
              </w:rPr>
            </w:pPr>
            <w:r w:rsidRPr="00C247F2">
              <w:rPr>
                <w:rFonts w:ascii="Helvetica" w:hAnsi="Helvetica" w:cs="Times New Roman"/>
                <w:sz w:val="16"/>
                <w:szCs w:val="16"/>
              </w:rPr>
              <w:t>Students must meet appropriate CEFR level</w:t>
            </w:r>
            <w:r w:rsidR="007F1A88">
              <w:rPr>
                <w:rFonts w:ascii="Helvetica" w:hAnsi="Helvetica" w:cs="Times New Roman"/>
                <w:sz w:val="16"/>
                <w:szCs w:val="16"/>
              </w:rPr>
              <w:t>s</w:t>
            </w:r>
            <w:r w:rsidRPr="00C247F2">
              <w:rPr>
                <w:rFonts w:ascii="Helvetica" w:hAnsi="Helvetica" w:cs="Times New Roman"/>
                <w:sz w:val="16"/>
                <w:szCs w:val="16"/>
              </w:rPr>
              <w:t xml:space="preserve"> as determined from proficiency exams conducted at orientation and after each semester (including TOEIC R&amp;L). </w:t>
            </w:r>
          </w:p>
          <w:p w14:paraId="5DD02955" w14:textId="62B03ECD" w:rsidR="00AC0FF7" w:rsidRPr="00C247F2" w:rsidRDefault="00AC0FF7" w:rsidP="00692FF0">
            <w:pPr>
              <w:autoSpaceDE w:val="0"/>
              <w:autoSpaceDN w:val="0"/>
              <w:jc w:val="left"/>
              <w:rPr>
                <w:rFonts w:ascii="Helvetica" w:hAnsi="Helvetica" w:cs="Times New Roman"/>
                <w:sz w:val="16"/>
                <w:szCs w:val="16"/>
              </w:rPr>
            </w:pPr>
            <w:r w:rsidRPr="00C247F2">
              <w:rPr>
                <w:rFonts w:ascii="Helvetica" w:hAnsi="Helvetica" w:cs="Times New Roman"/>
                <w:sz w:val="16"/>
                <w:szCs w:val="16"/>
              </w:rPr>
              <w:t xml:space="preserve">Exception: TC students may be placed in classes depending on </w:t>
            </w:r>
            <w:r w:rsidR="007F1A88">
              <w:rPr>
                <w:rFonts w:ascii="Helvetica" w:hAnsi="Helvetica" w:cs="Times New Roman"/>
                <w:sz w:val="16"/>
                <w:szCs w:val="16"/>
              </w:rPr>
              <w:t>the</w:t>
            </w:r>
            <w:r w:rsidRPr="00C247F2">
              <w:rPr>
                <w:rFonts w:ascii="Helvetica" w:hAnsi="Helvetica" w:cs="Times New Roman"/>
                <w:sz w:val="16"/>
                <w:szCs w:val="16"/>
              </w:rPr>
              <w:t xml:space="preserve"> availability</w:t>
            </w:r>
            <w:r w:rsidR="007F1A88">
              <w:rPr>
                <w:rFonts w:ascii="Helvetica" w:hAnsi="Helvetica" w:cs="Times New Roman"/>
                <w:sz w:val="16"/>
                <w:szCs w:val="16"/>
              </w:rPr>
              <w:t xml:space="preserve"> of TC-qualified instructors.</w:t>
            </w:r>
          </w:p>
        </w:tc>
      </w:tr>
      <w:tr w:rsidR="009F3088" w:rsidRPr="00C247F2" w14:paraId="09ED7893" w14:textId="77777777" w:rsidTr="7F72991C">
        <w:trPr>
          <w:trHeight w:val="345"/>
        </w:trPr>
        <w:tc>
          <w:tcPr>
            <w:tcW w:w="1636" w:type="dxa"/>
            <w:shd w:val="clear" w:color="auto" w:fill="D9E2F3" w:themeFill="accent5" w:themeFillTint="33"/>
            <w:vAlign w:val="center"/>
          </w:tcPr>
          <w:p w14:paraId="323DD96E" w14:textId="77777777" w:rsidR="002D2C35" w:rsidRPr="00C247F2" w:rsidRDefault="009F3088" w:rsidP="00C05FF8">
            <w:pPr>
              <w:autoSpaceDE w:val="0"/>
              <w:autoSpaceDN w:val="0"/>
              <w:spacing w:line="60" w:lineRule="auto"/>
              <w:rPr>
                <w:rFonts w:ascii="Helvetica" w:eastAsia="ＭＳ ゴシック" w:hAnsi="Helvetica"/>
                <w:color w:val="000000" w:themeColor="text1"/>
                <w:sz w:val="16"/>
                <w:szCs w:val="16"/>
              </w:rPr>
            </w:pPr>
            <w:r w:rsidRPr="00C247F2">
              <w:rPr>
                <w:rFonts w:ascii="Helvetica" w:eastAsia="ＭＳ ゴシック" w:hAnsi="Helvetica"/>
                <w:color w:val="000000" w:themeColor="text1"/>
                <w:sz w:val="16"/>
                <w:szCs w:val="16"/>
              </w:rPr>
              <w:t xml:space="preserve">Course </w:t>
            </w:r>
          </w:p>
          <w:p w14:paraId="3CBFD64C" w14:textId="23E8BA3F" w:rsidR="009F3088" w:rsidRPr="00C247F2" w:rsidRDefault="009F3088" w:rsidP="00C05FF8">
            <w:pPr>
              <w:autoSpaceDE w:val="0"/>
              <w:autoSpaceDN w:val="0"/>
              <w:spacing w:line="60" w:lineRule="auto"/>
              <w:rPr>
                <w:rFonts w:ascii="Helvetica" w:eastAsia="ＭＳ ゴシック" w:hAnsi="Helvetica" w:cs="Times New Roman"/>
                <w:sz w:val="16"/>
                <w:szCs w:val="16"/>
              </w:rPr>
            </w:pPr>
            <w:r w:rsidRPr="00C247F2">
              <w:rPr>
                <w:rFonts w:ascii="Helvetica" w:eastAsia="ＭＳ ゴシック" w:hAnsi="Helvetica"/>
                <w:color w:val="000000" w:themeColor="text1"/>
                <w:sz w:val="16"/>
                <w:szCs w:val="16"/>
              </w:rPr>
              <w:t>Schedule</w:t>
            </w:r>
          </w:p>
        </w:tc>
        <w:tc>
          <w:tcPr>
            <w:tcW w:w="8178" w:type="dxa"/>
            <w:gridSpan w:val="3"/>
            <w:vAlign w:val="center"/>
          </w:tcPr>
          <w:p w14:paraId="6DBF055C" w14:textId="78A0D2FE" w:rsidR="00BB7086" w:rsidRPr="00C247F2" w:rsidRDefault="7F72991C" w:rsidP="7F72991C">
            <w:pPr>
              <w:autoSpaceDE w:val="0"/>
              <w:autoSpaceDN w:val="0"/>
              <w:jc w:val="left"/>
              <w:rPr>
                <w:rFonts w:ascii="Helvetica" w:hAnsi="Helvetica" w:cs="Times New Roman"/>
                <w:b/>
                <w:bCs/>
                <w:color w:val="000000" w:themeColor="text1"/>
                <w:sz w:val="16"/>
                <w:szCs w:val="16"/>
              </w:rPr>
            </w:pPr>
            <w:r w:rsidRPr="7F72991C">
              <w:rPr>
                <w:rFonts w:ascii="Helvetica" w:hAnsi="Helvetica" w:cs="Times New Roman"/>
                <w:b/>
                <w:bCs/>
                <w:color w:val="000000" w:themeColor="text1"/>
                <w:sz w:val="16"/>
                <w:szCs w:val="16"/>
              </w:rPr>
              <w:t>See AE Schedule (scope and sequence) for each course/CEFR level.</w:t>
            </w:r>
          </w:p>
          <w:p w14:paraId="268CFDB3" w14:textId="0D3ECE7F" w:rsidR="00BB7086" w:rsidRPr="00C247F2" w:rsidRDefault="7F72991C" w:rsidP="7F72991C">
            <w:pPr>
              <w:autoSpaceDE w:val="0"/>
              <w:autoSpaceDN w:val="0"/>
              <w:jc w:val="left"/>
              <w:rPr>
                <w:rFonts w:ascii="Helvetica" w:eastAsia="Helvetica" w:hAnsi="Helvetica" w:cs="Helvetica"/>
                <w:color w:val="000000" w:themeColor="text1"/>
                <w:sz w:val="16"/>
                <w:szCs w:val="16"/>
              </w:rPr>
            </w:pPr>
            <w:r w:rsidRPr="7F72991C">
              <w:rPr>
                <w:rFonts w:ascii="Helvetica" w:eastAsia="Helvetica" w:hAnsi="Helvetica" w:cs="Helvetica"/>
                <w:color w:val="000000" w:themeColor="text1"/>
                <w:sz w:val="16"/>
                <w:szCs w:val="16"/>
              </w:rPr>
              <w:t xml:space="preserve">Homework for every class includes text-based activities and preparation. At the end of each unit, students will also have a larger writing assignment. </w:t>
            </w:r>
          </w:p>
        </w:tc>
      </w:tr>
      <w:tr w:rsidR="009F3088" w:rsidRPr="00C247F2" w14:paraId="1FD06FCF" w14:textId="77777777" w:rsidTr="7F72991C">
        <w:trPr>
          <w:trHeight w:val="891"/>
        </w:trPr>
        <w:tc>
          <w:tcPr>
            <w:tcW w:w="1636" w:type="dxa"/>
            <w:shd w:val="clear" w:color="auto" w:fill="D9E2F3" w:themeFill="accent5" w:themeFillTint="33"/>
            <w:vAlign w:val="center"/>
          </w:tcPr>
          <w:p w14:paraId="028CCC18" w14:textId="77777777" w:rsidR="009F3088" w:rsidRPr="00C247F2" w:rsidRDefault="009F3088" w:rsidP="00C05FF8">
            <w:pPr>
              <w:autoSpaceDE w:val="0"/>
              <w:autoSpaceDN w:val="0"/>
              <w:spacing w:line="60" w:lineRule="auto"/>
              <w:rPr>
                <w:rFonts w:ascii="Helvetica" w:eastAsia="ＭＳ ゴシック" w:hAnsi="Helvetica"/>
                <w:sz w:val="16"/>
                <w:szCs w:val="16"/>
              </w:rPr>
            </w:pPr>
            <w:r w:rsidRPr="00C247F2">
              <w:rPr>
                <w:rFonts w:ascii="Helvetica" w:eastAsia="ＭＳ ゴシック" w:hAnsi="Helvetica"/>
                <w:sz w:val="16"/>
                <w:szCs w:val="16"/>
              </w:rPr>
              <w:t>Assessment</w:t>
            </w:r>
          </w:p>
          <w:p w14:paraId="763749E2" w14:textId="6E7E608D" w:rsidR="009F3088" w:rsidRPr="00C247F2" w:rsidRDefault="009F3088" w:rsidP="00C05FF8">
            <w:pPr>
              <w:autoSpaceDE w:val="0"/>
              <w:autoSpaceDN w:val="0"/>
              <w:spacing w:line="60" w:lineRule="auto"/>
              <w:rPr>
                <w:rFonts w:ascii="Helvetica" w:eastAsia="ＭＳ ゴシック" w:hAnsi="Helvetica" w:cs="Times New Roman"/>
                <w:sz w:val="16"/>
                <w:szCs w:val="16"/>
              </w:rPr>
            </w:pPr>
            <w:r w:rsidRPr="00C247F2">
              <w:rPr>
                <w:rFonts w:ascii="Helvetica" w:eastAsia="ＭＳ ゴシック" w:hAnsi="Helvetica"/>
                <w:sz w:val="16"/>
                <w:szCs w:val="16"/>
              </w:rPr>
              <w:t>Criteria</w:t>
            </w:r>
          </w:p>
        </w:tc>
        <w:tc>
          <w:tcPr>
            <w:tcW w:w="8178" w:type="dxa"/>
            <w:gridSpan w:val="3"/>
            <w:vAlign w:val="center"/>
          </w:tcPr>
          <w:p w14:paraId="5AD4C90D" w14:textId="168CE569" w:rsidR="009F3088" w:rsidRPr="00C247F2" w:rsidRDefault="00E156D6" w:rsidP="00692FF0">
            <w:pPr>
              <w:pStyle w:val="ListParagraph"/>
              <w:numPr>
                <w:ilvl w:val="0"/>
                <w:numId w:val="7"/>
              </w:numPr>
              <w:autoSpaceDE w:val="0"/>
              <w:autoSpaceDN w:val="0"/>
              <w:ind w:leftChars="0"/>
              <w:jc w:val="left"/>
              <w:rPr>
                <w:rFonts w:ascii="Helvetica" w:hAnsi="Helvetica" w:cs="Times New Roman"/>
                <w:sz w:val="16"/>
                <w:szCs w:val="16"/>
              </w:rPr>
            </w:pPr>
            <w:r>
              <w:rPr>
                <w:rFonts w:ascii="Helvetica" w:hAnsi="Helvetica" w:cs="Times New Roman"/>
                <w:sz w:val="16"/>
                <w:szCs w:val="16"/>
              </w:rPr>
              <w:t>3</w:t>
            </w:r>
            <w:r w:rsidR="0026268F" w:rsidRPr="00C247F2">
              <w:rPr>
                <w:rFonts w:ascii="Helvetica" w:hAnsi="Helvetica" w:cs="Times New Roman"/>
                <w:sz w:val="16"/>
                <w:szCs w:val="16"/>
              </w:rPr>
              <w:t>0% Writing assignments</w:t>
            </w:r>
            <w:r w:rsidR="00915B90" w:rsidRPr="00C247F2">
              <w:rPr>
                <w:rFonts w:ascii="Helvetica" w:hAnsi="Helvetica" w:cs="Times New Roman"/>
                <w:sz w:val="16"/>
                <w:szCs w:val="16"/>
              </w:rPr>
              <w:t xml:space="preserve"> (par</w:t>
            </w:r>
            <w:r w:rsidR="00BB7086" w:rsidRPr="00C247F2">
              <w:rPr>
                <w:rFonts w:ascii="Helvetica" w:hAnsi="Helvetica" w:cs="Times New Roman"/>
                <w:sz w:val="16"/>
                <w:szCs w:val="16"/>
              </w:rPr>
              <w:t>agr</w:t>
            </w:r>
            <w:r w:rsidR="00915B90" w:rsidRPr="00C247F2">
              <w:rPr>
                <w:rFonts w:ascii="Helvetica" w:hAnsi="Helvetica" w:cs="Times New Roman"/>
                <w:sz w:val="16"/>
                <w:szCs w:val="16"/>
              </w:rPr>
              <w:t>aphs &amp; essays)</w:t>
            </w:r>
          </w:p>
          <w:p w14:paraId="404CE892" w14:textId="427B5BBC" w:rsidR="0026268F" w:rsidRPr="00C247F2" w:rsidRDefault="00E156D6" w:rsidP="00692FF0">
            <w:pPr>
              <w:pStyle w:val="ListParagraph"/>
              <w:numPr>
                <w:ilvl w:val="0"/>
                <w:numId w:val="7"/>
              </w:numPr>
              <w:autoSpaceDE w:val="0"/>
              <w:autoSpaceDN w:val="0"/>
              <w:ind w:leftChars="0"/>
              <w:jc w:val="left"/>
              <w:rPr>
                <w:rFonts w:ascii="Helvetica" w:hAnsi="Helvetica" w:cs="Times New Roman"/>
                <w:sz w:val="16"/>
                <w:szCs w:val="16"/>
              </w:rPr>
            </w:pPr>
            <w:r>
              <w:rPr>
                <w:rFonts w:ascii="Helvetica" w:hAnsi="Helvetica" w:cs="Times New Roman"/>
                <w:sz w:val="16"/>
                <w:szCs w:val="16"/>
              </w:rPr>
              <w:t>3</w:t>
            </w:r>
            <w:r w:rsidR="0026268F" w:rsidRPr="00C247F2">
              <w:rPr>
                <w:rFonts w:ascii="Helvetica" w:hAnsi="Helvetica" w:cs="Times New Roman"/>
                <w:sz w:val="16"/>
                <w:szCs w:val="16"/>
              </w:rPr>
              <w:t xml:space="preserve">0% </w:t>
            </w:r>
            <w:r w:rsidR="00735DA8" w:rsidRPr="00C247F2">
              <w:rPr>
                <w:rFonts w:ascii="Helvetica" w:hAnsi="Helvetica" w:cs="Times New Roman"/>
                <w:sz w:val="16"/>
                <w:szCs w:val="16"/>
              </w:rPr>
              <w:t xml:space="preserve">Reading assignments and </w:t>
            </w:r>
            <w:r w:rsidR="0026268F" w:rsidRPr="00C247F2">
              <w:rPr>
                <w:rFonts w:ascii="Helvetica" w:hAnsi="Helvetica" w:cs="Times New Roman"/>
                <w:sz w:val="16"/>
                <w:szCs w:val="16"/>
              </w:rPr>
              <w:t>textbook activit</w:t>
            </w:r>
            <w:r w:rsidR="000E769A" w:rsidRPr="00C247F2">
              <w:rPr>
                <w:rFonts w:ascii="Helvetica" w:hAnsi="Helvetica" w:cs="Times New Roman"/>
                <w:sz w:val="16"/>
                <w:szCs w:val="16"/>
              </w:rPr>
              <w:t>ies</w:t>
            </w:r>
          </w:p>
          <w:p w14:paraId="53BABCE3" w14:textId="5C04D665" w:rsidR="005B3587" w:rsidRPr="00C247F2" w:rsidRDefault="005B3587" w:rsidP="00692FF0">
            <w:pPr>
              <w:pStyle w:val="ListParagraph"/>
              <w:numPr>
                <w:ilvl w:val="0"/>
                <w:numId w:val="7"/>
              </w:numPr>
              <w:autoSpaceDE w:val="0"/>
              <w:autoSpaceDN w:val="0"/>
              <w:ind w:leftChars="0"/>
              <w:jc w:val="left"/>
              <w:rPr>
                <w:rFonts w:ascii="Helvetica" w:hAnsi="Helvetica" w:cs="Times New Roman"/>
                <w:sz w:val="16"/>
                <w:szCs w:val="16"/>
                <w:lang w:val="en-CA"/>
              </w:rPr>
            </w:pPr>
            <w:r w:rsidRPr="00C247F2">
              <w:rPr>
                <w:rFonts w:ascii="Helvetica" w:hAnsi="Helvetica" w:cs="Times New Roman"/>
                <w:sz w:val="16"/>
                <w:szCs w:val="16"/>
                <w:lang w:val="en-CA"/>
              </w:rPr>
              <w:t>20% Quizzes &amp; presentations</w:t>
            </w:r>
          </w:p>
          <w:p w14:paraId="19D3AA2E" w14:textId="77777777" w:rsidR="0026268F" w:rsidRPr="00C247F2" w:rsidRDefault="0026268F" w:rsidP="00692FF0">
            <w:pPr>
              <w:pStyle w:val="ListParagraph"/>
              <w:numPr>
                <w:ilvl w:val="0"/>
                <w:numId w:val="7"/>
              </w:numPr>
              <w:autoSpaceDE w:val="0"/>
              <w:autoSpaceDN w:val="0"/>
              <w:ind w:leftChars="0"/>
              <w:jc w:val="left"/>
              <w:rPr>
                <w:rFonts w:ascii="Helvetica" w:hAnsi="Helvetica" w:cs="Times New Roman"/>
                <w:sz w:val="16"/>
                <w:szCs w:val="16"/>
              </w:rPr>
            </w:pPr>
            <w:r w:rsidRPr="00C247F2">
              <w:rPr>
                <w:rFonts w:ascii="Helvetica" w:hAnsi="Helvetica" w:cs="Times New Roman"/>
                <w:sz w:val="16"/>
                <w:szCs w:val="16"/>
              </w:rPr>
              <w:t>20% Final exam</w:t>
            </w:r>
          </w:p>
          <w:p w14:paraId="395F8079" w14:textId="032FEBB9" w:rsidR="005B3587" w:rsidRPr="00C247F2" w:rsidRDefault="005B3587" w:rsidP="00692FF0">
            <w:pPr>
              <w:autoSpaceDE w:val="0"/>
              <w:autoSpaceDN w:val="0"/>
              <w:jc w:val="left"/>
              <w:rPr>
                <w:rFonts w:ascii="Helvetica" w:hAnsi="Helvetica" w:cs="Times New Roman"/>
                <w:i/>
                <w:iCs/>
                <w:sz w:val="16"/>
                <w:szCs w:val="16"/>
              </w:rPr>
            </w:pPr>
            <w:r w:rsidRPr="00C247F2">
              <w:rPr>
                <w:rFonts w:ascii="Helvetica" w:hAnsi="Helvetica" w:cs="Times New Roman"/>
                <w:i/>
                <w:iCs/>
                <w:sz w:val="16"/>
                <w:szCs w:val="16"/>
              </w:rPr>
              <w:t xml:space="preserve">Assessment will be based on performance appropriate </w:t>
            </w:r>
            <w:r w:rsidR="00A72ACD" w:rsidRPr="00C247F2">
              <w:rPr>
                <w:rFonts w:ascii="Helvetica" w:hAnsi="Helvetica" w:cs="Times New Roman"/>
                <w:i/>
                <w:iCs/>
                <w:sz w:val="16"/>
                <w:szCs w:val="16"/>
              </w:rPr>
              <w:t xml:space="preserve">for each CEFR </w:t>
            </w:r>
            <w:r w:rsidRPr="00C247F2">
              <w:rPr>
                <w:rFonts w:ascii="Helvetica" w:hAnsi="Helvetica" w:cs="Times New Roman"/>
                <w:i/>
                <w:iCs/>
                <w:sz w:val="16"/>
                <w:szCs w:val="16"/>
              </w:rPr>
              <w:t xml:space="preserve">level. Task completion and timely submission are </w:t>
            </w:r>
            <w:r w:rsidR="007F1A88">
              <w:rPr>
                <w:rFonts w:ascii="Helvetica" w:hAnsi="Helvetica" w:cs="Times New Roman"/>
                <w:i/>
                <w:iCs/>
                <w:sz w:val="16"/>
                <w:szCs w:val="16"/>
              </w:rPr>
              <w:t>expected</w:t>
            </w:r>
            <w:r w:rsidRPr="00C247F2">
              <w:rPr>
                <w:rFonts w:ascii="Helvetica" w:hAnsi="Helvetica" w:cs="Times New Roman"/>
                <w:i/>
                <w:iCs/>
                <w:sz w:val="16"/>
                <w:szCs w:val="16"/>
              </w:rPr>
              <w:t>; simply completing work on time is no guarantee of a passing grade.</w:t>
            </w:r>
            <w:r w:rsidR="00E156D6">
              <w:rPr>
                <w:rFonts w:ascii="Helvetica" w:hAnsi="Helvetica" w:cs="Times New Roman"/>
                <w:i/>
                <w:iCs/>
                <w:sz w:val="16"/>
                <w:szCs w:val="16"/>
              </w:rPr>
              <w:t xml:space="preserve"> NOTE: Students must pass the final exam </w:t>
            </w:r>
            <w:proofErr w:type="gramStart"/>
            <w:r w:rsidR="00E156D6">
              <w:rPr>
                <w:rFonts w:ascii="Helvetica" w:hAnsi="Helvetica" w:cs="Times New Roman"/>
                <w:i/>
                <w:iCs/>
                <w:sz w:val="16"/>
                <w:szCs w:val="16"/>
              </w:rPr>
              <w:t>in order to</w:t>
            </w:r>
            <w:proofErr w:type="gramEnd"/>
            <w:r w:rsidR="00E156D6">
              <w:rPr>
                <w:rFonts w:ascii="Helvetica" w:hAnsi="Helvetica" w:cs="Times New Roman"/>
                <w:i/>
                <w:iCs/>
                <w:sz w:val="16"/>
                <w:szCs w:val="16"/>
              </w:rPr>
              <w:t xml:space="preserve"> pass the course.</w:t>
            </w:r>
          </w:p>
        </w:tc>
      </w:tr>
      <w:tr w:rsidR="00C247F2" w:rsidRPr="00C247F2" w14:paraId="68100C50" w14:textId="77777777" w:rsidTr="7F72991C">
        <w:trPr>
          <w:trHeight w:val="891"/>
        </w:trPr>
        <w:tc>
          <w:tcPr>
            <w:tcW w:w="1636" w:type="dxa"/>
            <w:shd w:val="clear" w:color="auto" w:fill="D9E2F3" w:themeFill="accent5" w:themeFillTint="33"/>
            <w:vAlign w:val="center"/>
          </w:tcPr>
          <w:p w14:paraId="44F9875D" w14:textId="77777777" w:rsidR="00C247F2" w:rsidRPr="00C247F2" w:rsidRDefault="00C247F2" w:rsidP="00C247F2">
            <w:pPr>
              <w:autoSpaceDE w:val="0"/>
              <w:autoSpaceDN w:val="0"/>
              <w:spacing w:line="60" w:lineRule="auto"/>
              <w:rPr>
                <w:rFonts w:ascii="Helvetica" w:eastAsia="ＭＳ ゴシック" w:hAnsi="Helvetica"/>
                <w:sz w:val="16"/>
                <w:szCs w:val="16"/>
              </w:rPr>
            </w:pPr>
            <w:r w:rsidRPr="00C247F2">
              <w:rPr>
                <w:rFonts w:ascii="Helvetica" w:eastAsia="ＭＳ ゴシック" w:hAnsi="Helvetica"/>
                <w:sz w:val="16"/>
                <w:szCs w:val="16"/>
              </w:rPr>
              <w:t>Teaching</w:t>
            </w:r>
          </w:p>
          <w:p w14:paraId="12DD79B1" w14:textId="33CAC830" w:rsidR="00C247F2" w:rsidRPr="00C247F2" w:rsidRDefault="00C247F2" w:rsidP="00C247F2">
            <w:pPr>
              <w:autoSpaceDE w:val="0"/>
              <w:autoSpaceDN w:val="0"/>
              <w:spacing w:line="60" w:lineRule="auto"/>
              <w:rPr>
                <w:rFonts w:ascii="Helvetica" w:eastAsia="ＭＳ ゴシック" w:hAnsi="Helvetica"/>
                <w:sz w:val="16"/>
                <w:szCs w:val="16"/>
              </w:rPr>
            </w:pPr>
            <w:r w:rsidRPr="00C247F2">
              <w:rPr>
                <w:rFonts w:ascii="Helvetica" w:eastAsia="ＭＳ ゴシック" w:hAnsi="Helvetica"/>
                <w:sz w:val="16"/>
                <w:szCs w:val="16"/>
              </w:rPr>
              <w:t>Methodology</w:t>
            </w:r>
          </w:p>
        </w:tc>
        <w:tc>
          <w:tcPr>
            <w:tcW w:w="8178" w:type="dxa"/>
            <w:gridSpan w:val="3"/>
            <w:vAlign w:val="center"/>
          </w:tcPr>
          <w:p w14:paraId="056EA545" w14:textId="77777777" w:rsidR="00C247F2" w:rsidRPr="00C247F2" w:rsidRDefault="00C247F2" w:rsidP="00C247F2">
            <w:pPr>
              <w:rPr>
                <w:rFonts w:ascii="Helvetica" w:hAnsi="Helvetica" w:cs="Arial"/>
                <w:sz w:val="16"/>
                <w:szCs w:val="16"/>
              </w:rPr>
            </w:pPr>
            <w:r w:rsidRPr="00C247F2">
              <w:rPr>
                <w:rFonts w:ascii="Helvetica" w:hAnsi="Helvetica" w:cs="Arial"/>
                <w:sz w:val="16"/>
                <w:szCs w:val="16"/>
              </w:rPr>
              <w:t>For every unit, course objectives will be achieved through active learning strategies, including but not limited to:</w:t>
            </w:r>
          </w:p>
          <w:p w14:paraId="00C6F4A7" w14:textId="383535ED" w:rsidR="00C247F2" w:rsidRPr="00C247F2" w:rsidRDefault="00C247F2" w:rsidP="00C247F2">
            <w:pPr>
              <w:pStyle w:val="ListParagraph"/>
              <w:numPr>
                <w:ilvl w:val="0"/>
                <w:numId w:val="9"/>
              </w:numPr>
              <w:ind w:leftChars="0"/>
              <w:rPr>
                <w:rFonts w:ascii="Helvetica" w:hAnsi="Helvetica" w:cs="Arial"/>
                <w:sz w:val="16"/>
                <w:szCs w:val="16"/>
              </w:rPr>
            </w:pPr>
            <w:r w:rsidRPr="00C247F2">
              <w:rPr>
                <w:rFonts w:ascii="Helvetica" w:hAnsi="Helvetica" w:cs="Arial"/>
                <w:sz w:val="16"/>
                <w:szCs w:val="16"/>
              </w:rPr>
              <w:t>Think</w:t>
            </w:r>
            <w:r w:rsidR="007F1A88">
              <w:rPr>
                <w:rFonts w:ascii="Helvetica" w:hAnsi="Helvetica" w:cs="Arial"/>
                <w:sz w:val="16"/>
                <w:szCs w:val="16"/>
              </w:rPr>
              <w:t>-</w:t>
            </w:r>
            <w:r w:rsidRPr="00C247F2">
              <w:rPr>
                <w:rFonts w:ascii="Helvetica" w:hAnsi="Helvetica" w:cs="Arial"/>
                <w:sz w:val="16"/>
                <w:szCs w:val="16"/>
              </w:rPr>
              <w:t>pair</w:t>
            </w:r>
            <w:r w:rsidR="007F1A88">
              <w:rPr>
                <w:rFonts w:ascii="Helvetica" w:hAnsi="Helvetica" w:cs="Arial"/>
                <w:sz w:val="16"/>
                <w:szCs w:val="16"/>
              </w:rPr>
              <w:t>-</w:t>
            </w:r>
            <w:r w:rsidRPr="00C247F2">
              <w:rPr>
                <w:rFonts w:ascii="Helvetica" w:hAnsi="Helvetica" w:cs="Arial"/>
                <w:sz w:val="16"/>
                <w:szCs w:val="16"/>
              </w:rPr>
              <w:t>share</w:t>
            </w:r>
            <w:r w:rsidR="007F1A88">
              <w:rPr>
                <w:rFonts w:ascii="Helvetica" w:hAnsi="Helvetica" w:cs="Arial"/>
                <w:sz w:val="16"/>
                <w:szCs w:val="16"/>
              </w:rPr>
              <w:t>,</w:t>
            </w:r>
            <w:r w:rsidRPr="00C247F2">
              <w:rPr>
                <w:rFonts w:ascii="Helvetica" w:hAnsi="Helvetica" w:cs="Arial"/>
                <w:sz w:val="16"/>
                <w:szCs w:val="16"/>
              </w:rPr>
              <w:t xml:space="preserve"> pair &amp; group work</w:t>
            </w:r>
          </w:p>
          <w:p w14:paraId="6BA46110" w14:textId="5CD3D606" w:rsidR="00C247F2" w:rsidRPr="00C247F2" w:rsidRDefault="1E7FCED0" w:rsidP="00C247F2">
            <w:pPr>
              <w:pStyle w:val="ListParagraph"/>
              <w:numPr>
                <w:ilvl w:val="0"/>
                <w:numId w:val="9"/>
              </w:numPr>
              <w:ind w:leftChars="0"/>
              <w:rPr>
                <w:rFonts w:ascii="Helvetica" w:hAnsi="Helvetica" w:cs="Arial"/>
                <w:sz w:val="16"/>
                <w:szCs w:val="16"/>
              </w:rPr>
            </w:pPr>
            <w:r w:rsidRPr="1E7FCED0">
              <w:rPr>
                <w:rFonts w:ascii="Helvetica" w:hAnsi="Helvetica" w:cs="Arial"/>
                <w:sz w:val="16"/>
                <w:szCs w:val="16"/>
              </w:rPr>
              <w:t>Interactive lectures, videos, reading passages with note taking</w:t>
            </w:r>
          </w:p>
          <w:p w14:paraId="1C2C9E13" w14:textId="51A70140" w:rsidR="00C247F2" w:rsidRPr="007F1A88" w:rsidRDefault="00C247F2" w:rsidP="00C247F2">
            <w:pPr>
              <w:pStyle w:val="ListParagraph"/>
              <w:numPr>
                <w:ilvl w:val="0"/>
                <w:numId w:val="9"/>
              </w:numPr>
              <w:ind w:leftChars="0"/>
              <w:rPr>
                <w:rFonts w:ascii="Helvetica" w:hAnsi="Helvetica" w:cs="Arial"/>
                <w:sz w:val="16"/>
                <w:szCs w:val="16"/>
                <w:lang w:val="fr-FR"/>
              </w:rPr>
            </w:pPr>
            <w:proofErr w:type="spellStart"/>
            <w:r w:rsidRPr="007F1A88">
              <w:rPr>
                <w:rFonts w:ascii="Helvetica" w:hAnsi="Helvetica" w:cs="Arial"/>
                <w:sz w:val="16"/>
                <w:szCs w:val="16"/>
                <w:lang w:val="fr-FR"/>
              </w:rPr>
              <w:t>Task</w:t>
            </w:r>
            <w:r w:rsidR="007F1A88" w:rsidRPr="007F1A88">
              <w:rPr>
                <w:rFonts w:ascii="Helvetica" w:hAnsi="Helvetica" w:cs="Arial"/>
                <w:sz w:val="16"/>
                <w:szCs w:val="16"/>
                <w:lang w:val="fr-FR"/>
              </w:rPr>
              <w:t>-</w:t>
            </w:r>
            <w:r w:rsidRPr="007F1A88">
              <w:rPr>
                <w:rFonts w:ascii="Helvetica" w:hAnsi="Helvetica" w:cs="Arial"/>
                <w:sz w:val="16"/>
                <w:szCs w:val="16"/>
                <w:lang w:val="fr-FR"/>
              </w:rPr>
              <w:t>based</w:t>
            </w:r>
            <w:proofErr w:type="spellEnd"/>
            <w:r w:rsidRPr="007F1A88">
              <w:rPr>
                <w:rFonts w:ascii="Helvetica" w:hAnsi="Helvetica" w:cs="Arial"/>
                <w:sz w:val="16"/>
                <w:szCs w:val="16"/>
                <w:lang w:val="fr-FR"/>
              </w:rPr>
              <w:t xml:space="preserve"> </w:t>
            </w:r>
            <w:proofErr w:type="spellStart"/>
            <w:r w:rsidR="007F1A88">
              <w:rPr>
                <w:rFonts w:ascii="Helvetica" w:hAnsi="Helvetica" w:cs="Arial"/>
                <w:sz w:val="16"/>
                <w:szCs w:val="16"/>
                <w:lang w:val="fr-FR"/>
              </w:rPr>
              <w:t>activities</w:t>
            </w:r>
            <w:proofErr w:type="spellEnd"/>
          </w:p>
          <w:p w14:paraId="76B8F645" w14:textId="77777777" w:rsidR="00C247F2" w:rsidRPr="00C247F2" w:rsidRDefault="00C247F2" w:rsidP="00C247F2">
            <w:pPr>
              <w:pStyle w:val="ListParagraph"/>
              <w:numPr>
                <w:ilvl w:val="0"/>
                <w:numId w:val="9"/>
              </w:numPr>
              <w:ind w:leftChars="0"/>
              <w:rPr>
                <w:rFonts w:ascii="Helvetica" w:hAnsi="Helvetica" w:cs="Arial"/>
                <w:sz w:val="16"/>
                <w:szCs w:val="16"/>
              </w:rPr>
            </w:pPr>
            <w:r w:rsidRPr="00C247F2">
              <w:rPr>
                <w:rFonts w:ascii="Helvetica" w:hAnsi="Helvetica" w:cs="Arial"/>
                <w:sz w:val="16"/>
                <w:szCs w:val="16"/>
              </w:rPr>
              <w:t>Written and oral paraphrasing and summarizing</w:t>
            </w:r>
          </w:p>
          <w:p w14:paraId="30CCBE30" w14:textId="39026052" w:rsidR="00C247F2" w:rsidRPr="00C247F2" w:rsidRDefault="00C247F2" w:rsidP="00C247F2">
            <w:pPr>
              <w:pStyle w:val="ListParagraph"/>
              <w:numPr>
                <w:ilvl w:val="0"/>
                <w:numId w:val="9"/>
              </w:numPr>
              <w:ind w:leftChars="0"/>
              <w:rPr>
                <w:rFonts w:ascii="Helvetica" w:hAnsi="Helvetica" w:cs="Arial"/>
                <w:sz w:val="16"/>
                <w:szCs w:val="16"/>
              </w:rPr>
            </w:pPr>
            <w:r w:rsidRPr="00C247F2">
              <w:rPr>
                <w:rFonts w:ascii="Helvetica" w:hAnsi="Helvetica" w:cs="Arial"/>
                <w:sz w:val="16"/>
                <w:szCs w:val="16"/>
              </w:rPr>
              <w:t>Role play</w:t>
            </w:r>
            <w:r w:rsidR="007F1A88">
              <w:rPr>
                <w:rFonts w:ascii="Helvetica" w:hAnsi="Helvetica" w:cs="Arial"/>
                <w:sz w:val="16"/>
                <w:szCs w:val="16"/>
              </w:rPr>
              <w:t>,</w:t>
            </w:r>
            <w:r w:rsidRPr="00C247F2">
              <w:rPr>
                <w:rFonts w:ascii="Helvetica" w:hAnsi="Helvetica" w:cs="Arial"/>
                <w:sz w:val="16"/>
                <w:szCs w:val="16"/>
              </w:rPr>
              <w:t xml:space="preserve"> facilitated </w:t>
            </w:r>
            <w:r w:rsidR="007F1A88">
              <w:rPr>
                <w:rFonts w:ascii="Helvetica" w:hAnsi="Helvetica" w:cs="Arial"/>
                <w:sz w:val="16"/>
                <w:szCs w:val="16"/>
              </w:rPr>
              <w:t xml:space="preserve">or </w:t>
            </w:r>
            <w:r w:rsidRPr="00C247F2">
              <w:rPr>
                <w:rFonts w:ascii="Helvetica" w:hAnsi="Helvetica" w:cs="Arial"/>
                <w:sz w:val="16"/>
                <w:szCs w:val="16"/>
              </w:rPr>
              <w:t>mediated discussions</w:t>
            </w:r>
          </w:p>
          <w:p w14:paraId="5592493A" w14:textId="17D5A5D6" w:rsidR="00C247F2" w:rsidRPr="00C247F2" w:rsidRDefault="00C247F2" w:rsidP="00C247F2">
            <w:pPr>
              <w:pStyle w:val="ListParagraph"/>
              <w:numPr>
                <w:ilvl w:val="0"/>
                <w:numId w:val="7"/>
              </w:numPr>
              <w:autoSpaceDE w:val="0"/>
              <w:autoSpaceDN w:val="0"/>
              <w:ind w:leftChars="0"/>
              <w:jc w:val="left"/>
              <w:rPr>
                <w:rFonts w:ascii="Helvetica" w:hAnsi="Helvetica" w:cs="Times New Roman"/>
                <w:sz w:val="16"/>
                <w:szCs w:val="16"/>
              </w:rPr>
            </w:pPr>
            <w:r w:rsidRPr="00C247F2">
              <w:rPr>
                <w:rFonts w:ascii="Helvetica" w:hAnsi="Helvetica" w:cs="Arial"/>
                <w:sz w:val="16"/>
                <w:szCs w:val="16"/>
              </w:rPr>
              <w:t>Project and/or presentation work</w:t>
            </w:r>
          </w:p>
        </w:tc>
      </w:tr>
      <w:tr w:rsidR="009F3088" w:rsidRPr="00C247F2" w14:paraId="5C792011" w14:textId="77777777" w:rsidTr="7F72991C">
        <w:trPr>
          <w:trHeight w:val="891"/>
        </w:trPr>
        <w:tc>
          <w:tcPr>
            <w:tcW w:w="1636" w:type="dxa"/>
            <w:shd w:val="clear" w:color="auto" w:fill="D9E2F3" w:themeFill="accent5" w:themeFillTint="33"/>
            <w:vAlign w:val="center"/>
          </w:tcPr>
          <w:p w14:paraId="291D2D8B" w14:textId="08908E89" w:rsidR="009F3088" w:rsidRPr="00C247F2" w:rsidRDefault="009F3088" w:rsidP="00C05FF8">
            <w:pPr>
              <w:autoSpaceDE w:val="0"/>
              <w:autoSpaceDN w:val="0"/>
              <w:spacing w:line="60" w:lineRule="auto"/>
              <w:rPr>
                <w:rFonts w:ascii="Helvetica" w:eastAsia="ＭＳ ゴシック" w:hAnsi="Helvetica" w:cs="Times New Roman"/>
                <w:sz w:val="16"/>
                <w:szCs w:val="16"/>
              </w:rPr>
            </w:pPr>
            <w:r w:rsidRPr="00C247F2">
              <w:rPr>
                <w:rFonts w:ascii="Helvetica" w:eastAsia="ＭＳ ゴシック" w:hAnsi="Helvetica" w:cs="ＭＳ Ｐゴシック"/>
                <w:sz w:val="16"/>
                <w:szCs w:val="16"/>
              </w:rPr>
              <w:t>Textbooks</w:t>
            </w:r>
          </w:p>
        </w:tc>
        <w:tc>
          <w:tcPr>
            <w:tcW w:w="8178" w:type="dxa"/>
            <w:gridSpan w:val="3"/>
            <w:vAlign w:val="center"/>
          </w:tcPr>
          <w:p w14:paraId="74723571" w14:textId="73F445A3" w:rsidR="009F3088" w:rsidRPr="00C247F2" w:rsidRDefault="463D0C53" w:rsidP="00AE5BEC">
            <w:pPr>
              <w:autoSpaceDE w:val="0"/>
              <w:autoSpaceDN w:val="0"/>
              <w:rPr>
                <w:rFonts w:ascii="Helvetica" w:hAnsi="Helvetica" w:cs="Times New Roman"/>
                <w:sz w:val="16"/>
                <w:szCs w:val="16"/>
              </w:rPr>
            </w:pPr>
            <w:r w:rsidRPr="463D0C53">
              <w:rPr>
                <w:rFonts w:ascii="Helvetica" w:hAnsi="Helvetica" w:cs="Times New Roman"/>
                <w:sz w:val="16"/>
                <w:szCs w:val="16"/>
              </w:rPr>
              <w:t>Q Skills for Success Reading &amp; Writing (Cambridge University Press) 3</w:t>
            </w:r>
            <w:r w:rsidRPr="463D0C53">
              <w:rPr>
                <w:rFonts w:ascii="Helvetica" w:hAnsi="Helvetica" w:cs="Times New Roman"/>
                <w:sz w:val="16"/>
                <w:szCs w:val="16"/>
                <w:vertAlign w:val="superscript"/>
              </w:rPr>
              <w:t>rd</w:t>
            </w:r>
            <w:r w:rsidRPr="463D0C53">
              <w:rPr>
                <w:rFonts w:ascii="Helvetica" w:hAnsi="Helvetica" w:cs="Times New Roman"/>
                <w:sz w:val="16"/>
                <w:szCs w:val="16"/>
              </w:rPr>
              <w:t xml:space="preserve"> Edition - T</w:t>
            </w:r>
            <w:r w:rsidR="008711B9">
              <w:rPr>
                <w:rFonts w:ascii="Helvetica" w:hAnsi="Helvetica" w:cs="Times New Roman"/>
                <w:sz w:val="16"/>
                <w:szCs w:val="16"/>
              </w:rPr>
              <w:t>A</w:t>
            </w:r>
            <w:r w:rsidR="008711B9" w:rsidRPr="00D64A0E">
              <w:rPr>
                <w:rFonts w:ascii="Helvetica" w:hAnsi="Helvetica" w:cs="Times New Roman"/>
                <w:sz w:val="16"/>
                <w:szCs w:val="16"/>
              </w:rPr>
              <w:t>dditiona</w:t>
            </w:r>
            <w:r w:rsidR="008711B9">
              <w:rPr>
                <w:rFonts w:ascii="Helvetica" w:hAnsi="Helvetica" w:cs="Times New Roman"/>
                <w:sz w:val="16"/>
                <w:szCs w:val="16"/>
              </w:rPr>
              <w:t>l</w:t>
            </w:r>
            <w:r w:rsidR="008711B9" w:rsidRPr="00D64A0E">
              <w:rPr>
                <w:rFonts w:ascii="Helvetica" w:hAnsi="Helvetica" w:cs="Times New Roman"/>
                <w:sz w:val="16"/>
                <w:szCs w:val="16"/>
              </w:rPr>
              <w:t xml:space="preserve"> </w:t>
            </w:r>
            <w:r w:rsidR="008711B9">
              <w:rPr>
                <w:rFonts w:ascii="Helvetica" w:hAnsi="Helvetica" w:cs="Times New Roman"/>
                <w:sz w:val="16"/>
                <w:szCs w:val="16"/>
              </w:rPr>
              <w:t xml:space="preserve">activities and </w:t>
            </w:r>
            <w:r w:rsidR="008711B9" w:rsidRPr="00D64A0E">
              <w:rPr>
                <w:rFonts w:ascii="Helvetica" w:hAnsi="Helvetica" w:cs="Times New Roman"/>
                <w:sz w:val="16"/>
                <w:szCs w:val="16"/>
              </w:rPr>
              <w:t xml:space="preserve">materials </w:t>
            </w:r>
            <w:r w:rsidR="008711B9">
              <w:rPr>
                <w:rFonts w:ascii="Helvetica" w:hAnsi="Helvetica" w:cs="Times New Roman"/>
                <w:sz w:val="16"/>
                <w:szCs w:val="16"/>
              </w:rPr>
              <w:t xml:space="preserve">for expansion and review </w:t>
            </w:r>
            <w:r w:rsidR="008711B9" w:rsidRPr="00D64A0E">
              <w:rPr>
                <w:rFonts w:ascii="Helvetica" w:hAnsi="Helvetica" w:cs="Times New Roman"/>
                <w:sz w:val="16"/>
                <w:szCs w:val="16"/>
              </w:rPr>
              <w:t>will be supplied by the instructor</w:t>
            </w:r>
            <w:r w:rsidR="008711B9">
              <w:rPr>
                <w:rFonts w:ascii="Helvetica" w:hAnsi="Helvetica" w:cs="Times New Roman"/>
                <w:sz w:val="16"/>
                <w:szCs w:val="16"/>
              </w:rPr>
              <w:t>.</w:t>
            </w:r>
          </w:p>
        </w:tc>
      </w:tr>
      <w:tr w:rsidR="009F3088" w:rsidRPr="00C247F2" w14:paraId="7786B022" w14:textId="77777777" w:rsidTr="7F72991C">
        <w:trPr>
          <w:trHeight w:val="557"/>
        </w:trPr>
        <w:tc>
          <w:tcPr>
            <w:tcW w:w="1636" w:type="dxa"/>
            <w:shd w:val="clear" w:color="auto" w:fill="D9E2F3" w:themeFill="accent5" w:themeFillTint="33"/>
            <w:vAlign w:val="center"/>
          </w:tcPr>
          <w:p w14:paraId="23B3F466" w14:textId="0D9F7B33" w:rsidR="009F3088" w:rsidRPr="00C247F2" w:rsidRDefault="009F3088" w:rsidP="00C05FF8">
            <w:pPr>
              <w:autoSpaceDE w:val="0"/>
              <w:autoSpaceDN w:val="0"/>
              <w:spacing w:line="60" w:lineRule="auto"/>
              <w:jc w:val="left"/>
              <w:rPr>
                <w:rFonts w:ascii="Helvetica" w:eastAsia="ＭＳ ゴシック" w:hAnsi="Helvetica" w:cs="Times New Roman"/>
                <w:sz w:val="16"/>
                <w:szCs w:val="16"/>
              </w:rPr>
            </w:pPr>
            <w:r w:rsidRPr="00C247F2">
              <w:rPr>
                <w:rFonts w:ascii="Helvetica" w:eastAsia="ＭＳ ゴシック" w:hAnsi="Helvetica" w:cs="ＭＳ Ｐゴシック"/>
                <w:sz w:val="16"/>
                <w:szCs w:val="16"/>
              </w:rPr>
              <w:t>References</w:t>
            </w:r>
          </w:p>
        </w:tc>
        <w:tc>
          <w:tcPr>
            <w:tcW w:w="8178" w:type="dxa"/>
            <w:gridSpan w:val="3"/>
            <w:vAlign w:val="center"/>
          </w:tcPr>
          <w:p w14:paraId="047303A0" w14:textId="571D7041" w:rsidR="0003042F" w:rsidRPr="0003042F" w:rsidRDefault="7DF10B59" w:rsidP="7DF10B59">
            <w:pPr>
              <w:pStyle w:val="NormalWeb"/>
              <w:shd w:val="clear" w:color="auto" w:fill="FFFFFF" w:themeFill="background1"/>
              <w:spacing w:before="0" w:beforeAutospacing="0" w:after="0" w:afterAutospacing="0"/>
              <w:rPr>
                <w:rFonts w:ascii="Helvetica" w:hAnsi="Helvetica"/>
                <w:sz w:val="16"/>
                <w:szCs w:val="16"/>
              </w:rPr>
            </w:pPr>
            <w:r w:rsidRPr="7DF10B59">
              <w:rPr>
                <w:rFonts w:ascii="Helvetica" w:hAnsi="Helvetica"/>
                <w:sz w:val="16"/>
                <w:szCs w:val="16"/>
              </w:rPr>
              <w:t>Cummins, J. (2008). BICS and CALP: Empirical and Theoretical Status of the Distinction in Street, B. &amp; Hornberger, N. H. (Eds.). Encyclopedia of Language and Education, 2nd Ed</w:t>
            </w:r>
            <w:r w:rsidRPr="7DF10B59">
              <w:rPr>
                <w:rFonts w:ascii="Helvetica" w:hAnsi="Helvetica"/>
                <w:sz w:val="16"/>
                <w:szCs w:val="16"/>
                <w:lang w:val="en-CA"/>
              </w:rPr>
              <w:t>.</w:t>
            </w:r>
            <w:r w:rsidRPr="7DF10B59">
              <w:rPr>
                <w:rFonts w:ascii="Helvetica" w:hAnsi="Helvetica"/>
                <w:sz w:val="16"/>
                <w:szCs w:val="16"/>
              </w:rPr>
              <w:t>, Vo</w:t>
            </w:r>
            <w:r w:rsidRPr="7DF10B59">
              <w:rPr>
                <w:rFonts w:ascii="Helvetica" w:hAnsi="Helvetica"/>
                <w:sz w:val="16"/>
                <w:szCs w:val="16"/>
                <w:lang w:val="en-CA"/>
              </w:rPr>
              <w:t>l.</w:t>
            </w:r>
            <w:r w:rsidRPr="7DF10B59">
              <w:rPr>
                <w:rFonts w:ascii="Helvetica" w:hAnsi="Helvetica"/>
                <w:sz w:val="16"/>
                <w:szCs w:val="16"/>
              </w:rPr>
              <w:t xml:space="preserve"> 2: Literacy. (pp. 71-83). New York: Springer Science + Business Media LLC.</w:t>
            </w:r>
          </w:p>
          <w:p w14:paraId="3683C0C2" w14:textId="2AE3AA19" w:rsidR="0003042F" w:rsidRPr="0003042F" w:rsidRDefault="7DF10B59" w:rsidP="7DF10B59">
            <w:pPr>
              <w:pStyle w:val="NormalWeb"/>
              <w:spacing w:before="0" w:beforeAutospacing="0" w:after="0" w:afterAutospacing="0"/>
              <w:rPr>
                <w:color w:val="000000" w:themeColor="text1"/>
                <w:lang w:val="en-US"/>
              </w:rPr>
            </w:pPr>
            <w:r w:rsidRPr="7DF10B59">
              <w:rPr>
                <w:rFonts w:ascii="Helvetica" w:eastAsia="Helvetica" w:hAnsi="Helvetica" w:cs="Helvetica"/>
                <w:color w:val="000000" w:themeColor="text1"/>
                <w:sz w:val="16"/>
                <w:szCs w:val="16"/>
                <w:lang w:val="en-US"/>
              </w:rPr>
              <w:t xml:space="preserve">Council of Europe. 2018. </w:t>
            </w:r>
            <w:r w:rsidRPr="7DF10B59">
              <w:rPr>
                <w:rFonts w:ascii="Helvetica" w:eastAsia="Helvetica" w:hAnsi="Helvetica" w:cs="Helvetica"/>
                <w:i/>
                <w:iCs/>
                <w:color w:val="000000" w:themeColor="text1"/>
                <w:sz w:val="16"/>
                <w:szCs w:val="16"/>
                <w:lang w:val="en-US"/>
              </w:rPr>
              <w:t xml:space="preserve">Common European Framework of Reference for Languages: learning, teaching, assessment. Companion volume with new descriptors. </w:t>
            </w:r>
            <w:r w:rsidRPr="7DF10B59">
              <w:rPr>
                <w:rFonts w:ascii="Helvetica" w:eastAsia="Helvetica" w:hAnsi="Helvetica" w:cs="Helvetica"/>
                <w:color w:val="000000" w:themeColor="text1"/>
                <w:sz w:val="16"/>
                <w:szCs w:val="16"/>
                <w:lang w:val="en-US"/>
              </w:rPr>
              <w:t>Strasbourg, France: Council of Europe. https://rm.CoE.int/cefr-companion-volume-with-new-descriptors-2018/1680787989</w:t>
            </w:r>
          </w:p>
        </w:tc>
      </w:tr>
      <w:tr w:rsidR="00976D68" w:rsidRPr="00C247F2" w14:paraId="496DA781" w14:textId="77777777" w:rsidTr="7F72991C">
        <w:trPr>
          <w:trHeight w:val="557"/>
        </w:trPr>
        <w:tc>
          <w:tcPr>
            <w:tcW w:w="1636" w:type="dxa"/>
            <w:shd w:val="clear" w:color="auto" w:fill="D9E2F3" w:themeFill="accent5" w:themeFillTint="33"/>
            <w:vAlign w:val="center"/>
          </w:tcPr>
          <w:p w14:paraId="28FD0964" w14:textId="140F97B3" w:rsidR="00976D68" w:rsidRPr="00976D68" w:rsidRDefault="00976D68" w:rsidP="00976D68">
            <w:pPr>
              <w:autoSpaceDE w:val="0"/>
              <w:autoSpaceDN w:val="0"/>
              <w:spacing w:line="60" w:lineRule="auto"/>
              <w:jc w:val="left"/>
              <w:rPr>
                <w:rFonts w:ascii="Helvetica" w:eastAsia="ＭＳ ゴシック" w:hAnsi="Helvetica" w:cs="ＭＳ Ｐゴシック"/>
                <w:sz w:val="16"/>
                <w:szCs w:val="16"/>
              </w:rPr>
            </w:pPr>
            <w:r w:rsidRPr="00976D68">
              <w:rPr>
                <w:rStyle w:val="normaltextrun"/>
                <w:rFonts w:ascii="Helvetica" w:hAnsi="Helvetica" w:cs="Segoe UI"/>
                <w:sz w:val="16"/>
                <w:szCs w:val="16"/>
              </w:rPr>
              <w:lastRenderedPageBreak/>
              <w:t>Diploma Policy Objectives</w:t>
            </w:r>
            <w:r w:rsidRPr="00976D68">
              <w:rPr>
                <w:rStyle w:val="eop"/>
                <w:rFonts w:ascii="Helvetica" w:hAnsi="Helvetica" w:cs="Segoe UI"/>
                <w:sz w:val="16"/>
                <w:szCs w:val="16"/>
              </w:rPr>
              <w:t> </w:t>
            </w:r>
          </w:p>
        </w:tc>
        <w:tc>
          <w:tcPr>
            <w:tcW w:w="8178" w:type="dxa"/>
            <w:gridSpan w:val="3"/>
          </w:tcPr>
          <w:p w14:paraId="62E501AF" w14:textId="77777777" w:rsidR="00976D68" w:rsidRDefault="00976D68" w:rsidP="00976D68">
            <w:pPr>
              <w:pStyle w:val="paragraph"/>
              <w:spacing w:before="0" w:beforeAutospacing="0" w:after="0" w:afterAutospacing="0"/>
              <w:jc w:val="both"/>
              <w:textAlignment w:val="baseline"/>
              <w:divId w:val="1529299306"/>
              <w:rPr>
                <w:rStyle w:val="eop"/>
                <w:rFonts w:ascii="Helvetica" w:hAnsi="Helvetica" w:cs="Segoe UI"/>
                <w:sz w:val="16"/>
                <w:szCs w:val="16"/>
              </w:rPr>
            </w:pPr>
            <w:r w:rsidRPr="00976D68">
              <w:rPr>
                <w:rStyle w:val="normaltextrun"/>
                <w:rFonts w:ascii="Helvetica" w:eastAsiaTheme="majorEastAsia" w:hAnsi="Helvetica" w:cs="Segoe UI"/>
                <w:sz w:val="16"/>
                <w:szCs w:val="16"/>
                <w:lang w:val="en-US"/>
              </w:rPr>
              <w:t>Work completed in this course helps students achieve the following Diploma Policy objective(s):</w:t>
            </w:r>
            <w:r w:rsidRPr="00976D68">
              <w:rPr>
                <w:rStyle w:val="eop"/>
                <w:rFonts w:ascii="Helvetica" w:hAnsi="Helvetica" w:cs="Segoe UI"/>
                <w:sz w:val="16"/>
                <w:szCs w:val="16"/>
              </w:rPr>
              <w:t> </w:t>
            </w:r>
          </w:p>
          <w:p w14:paraId="27725105" w14:textId="77777777" w:rsidR="00976D68" w:rsidRPr="00976D68" w:rsidRDefault="00976D68" w:rsidP="00976D68">
            <w:pPr>
              <w:pStyle w:val="paragraph"/>
              <w:numPr>
                <w:ilvl w:val="0"/>
                <w:numId w:val="14"/>
              </w:numPr>
              <w:spacing w:before="0" w:beforeAutospacing="0" w:after="0" w:afterAutospacing="0"/>
              <w:jc w:val="both"/>
              <w:textAlignment w:val="baseline"/>
              <w:divId w:val="1529299306"/>
              <w:rPr>
                <w:rStyle w:val="eop"/>
                <w:rFonts w:ascii="Segoe UI" w:hAnsi="Segoe UI" w:cs="Segoe UI"/>
                <w:sz w:val="16"/>
                <w:szCs w:val="16"/>
              </w:rPr>
            </w:pPr>
            <w:r w:rsidRPr="00976D68">
              <w:rPr>
                <w:rStyle w:val="normaltextrun"/>
                <w:rFonts w:ascii="Helvetica" w:eastAsiaTheme="majorEastAsia" w:hAnsi="Helvetica" w:cs="Segoe UI"/>
                <w:color w:val="000000"/>
                <w:sz w:val="16"/>
                <w:szCs w:val="16"/>
                <w:lang w:val="en-US"/>
              </w:rPr>
              <w:t>Advanced thinking skills (comparison, analysis, synthesis, and evaluation) based on critical thinking (critical and analytic thought)</w:t>
            </w:r>
            <w:r w:rsidRPr="00976D68">
              <w:rPr>
                <w:rStyle w:val="eop"/>
                <w:rFonts w:ascii="Helvetica" w:hAnsi="Helvetica" w:cs="Segoe UI"/>
                <w:color w:val="000000"/>
                <w:sz w:val="16"/>
                <w:szCs w:val="16"/>
              </w:rPr>
              <w:t> </w:t>
            </w:r>
          </w:p>
          <w:p w14:paraId="3F12E282" w14:textId="77777777" w:rsidR="00976D68" w:rsidRPr="00976D68" w:rsidRDefault="00976D68" w:rsidP="00976D68">
            <w:pPr>
              <w:pStyle w:val="paragraph"/>
              <w:numPr>
                <w:ilvl w:val="0"/>
                <w:numId w:val="14"/>
              </w:numPr>
              <w:spacing w:before="0" w:beforeAutospacing="0" w:after="0" w:afterAutospacing="0"/>
              <w:jc w:val="both"/>
              <w:textAlignment w:val="baseline"/>
              <w:divId w:val="1529299306"/>
              <w:rPr>
                <w:rStyle w:val="eop"/>
                <w:rFonts w:ascii="Segoe UI" w:hAnsi="Segoe UI" w:cs="Segoe UI"/>
                <w:sz w:val="16"/>
                <w:szCs w:val="16"/>
              </w:rPr>
            </w:pPr>
            <w:r w:rsidRPr="00976D68">
              <w:rPr>
                <w:rStyle w:val="normaltextrun"/>
                <w:rFonts w:ascii="Helvetica" w:eastAsiaTheme="majorEastAsia" w:hAnsi="Helvetica" w:cs="Segoe UI"/>
                <w:color w:val="000000"/>
                <w:sz w:val="16"/>
                <w:szCs w:val="16"/>
                <w:lang w:val="en-US"/>
              </w:rPr>
              <w:t>The ability to understand and accept different cultures developed through acquisition of a broad knowledge and comparison of the cultures of Japan and other nations</w:t>
            </w:r>
            <w:r w:rsidRPr="00976D68">
              <w:rPr>
                <w:rStyle w:val="eop"/>
                <w:rFonts w:ascii="Helvetica" w:hAnsi="Helvetica" w:cs="Segoe UI"/>
                <w:color w:val="000000"/>
                <w:sz w:val="16"/>
                <w:szCs w:val="16"/>
              </w:rPr>
              <w:t> </w:t>
            </w:r>
          </w:p>
          <w:p w14:paraId="796EEDB7" w14:textId="77777777" w:rsidR="00976D68" w:rsidRPr="00976D68" w:rsidRDefault="00976D68" w:rsidP="00976D68">
            <w:pPr>
              <w:pStyle w:val="paragraph"/>
              <w:numPr>
                <w:ilvl w:val="0"/>
                <w:numId w:val="14"/>
              </w:numPr>
              <w:spacing w:before="0" w:beforeAutospacing="0" w:after="0" w:afterAutospacing="0"/>
              <w:jc w:val="both"/>
              <w:textAlignment w:val="baseline"/>
              <w:divId w:val="1529299306"/>
              <w:rPr>
                <w:rStyle w:val="eop"/>
                <w:rFonts w:ascii="Segoe UI" w:hAnsi="Segoe UI" w:cs="Segoe UI"/>
                <w:sz w:val="16"/>
                <w:szCs w:val="16"/>
              </w:rPr>
            </w:pPr>
            <w:r w:rsidRPr="00976D68">
              <w:rPr>
                <w:rStyle w:val="normaltextrun"/>
                <w:rFonts w:ascii="Helvetica" w:eastAsiaTheme="majorEastAsia" w:hAnsi="Helvetica" w:cs="Segoe UI"/>
                <w:color w:val="000000"/>
                <w:sz w:val="16"/>
                <w:szCs w:val="16"/>
                <w:lang w:val="en-US"/>
              </w:rPr>
              <w:t>The ability to identify and solve problems </w:t>
            </w:r>
            <w:r w:rsidRPr="00976D68">
              <w:rPr>
                <w:rStyle w:val="eop"/>
                <w:rFonts w:ascii="Helvetica" w:hAnsi="Helvetica" w:cs="Segoe UI"/>
                <w:color w:val="000000"/>
                <w:sz w:val="16"/>
                <w:szCs w:val="16"/>
              </w:rPr>
              <w:t> </w:t>
            </w:r>
          </w:p>
          <w:p w14:paraId="5E0AED4C" w14:textId="77777777" w:rsidR="00976D68" w:rsidRPr="00976D68" w:rsidRDefault="00976D68" w:rsidP="00976D68">
            <w:pPr>
              <w:pStyle w:val="paragraph"/>
              <w:numPr>
                <w:ilvl w:val="0"/>
                <w:numId w:val="14"/>
              </w:numPr>
              <w:spacing w:before="0" w:beforeAutospacing="0" w:after="0" w:afterAutospacing="0"/>
              <w:jc w:val="both"/>
              <w:textAlignment w:val="baseline"/>
              <w:divId w:val="1529299306"/>
              <w:rPr>
                <w:rStyle w:val="eop"/>
                <w:rFonts w:ascii="Segoe UI" w:hAnsi="Segoe UI" w:cs="Segoe UI"/>
                <w:sz w:val="16"/>
                <w:szCs w:val="16"/>
              </w:rPr>
            </w:pPr>
            <w:r w:rsidRPr="00976D68">
              <w:rPr>
                <w:rStyle w:val="normaltextrun"/>
                <w:rFonts w:ascii="Helvetica" w:eastAsiaTheme="majorEastAsia" w:hAnsi="Helvetica" w:cs="Segoe UI"/>
                <w:color w:val="000000"/>
                <w:sz w:val="16"/>
                <w:szCs w:val="16"/>
                <w:lang w:val="en-US"/>
              </w:rPr>
              <w:t>Advanced communicative proficiency in both Japanese and English</w:t>
            </w:r>
            <w:r w:rsidRPr="00976D68">
              <w:rPr>
                <w:rStyle w:val="eop"/>
                <w:rFonts w:ascii="Helvetica" w:hAnsi="Helvetica" w:cs="Segoe UI"/>
                <w:color w:val="000000"/>
                <w:sz w:val="16"/>
                <w:szCs w:val="16"/>
              </w:rPr>
              <w:t> </w:t>
            </w:r>
          </w:p>
          <w:p w14:paraId="0E5E0EE2" w14:textId="67A27261" w:rsidR="00976D68" w:rsidRPr="00976D68" w:rsidRDefault="00976D68" w:rsidP="00976D68">
            <w:pPr>
              <w:pStyle w:val="paragraph"/>
              <w:numPr>
                <w:ilvl w:val="0"/>
                <w:numId w:val="14"/>
              </w:numPr>
              <w:spacing w:before="0" w:beforeAutospacing="0" w:after="0" w:afterAutospacing="0"/>
              <w:jc w:val="both"/>
              <w:textAlignment w:val="baseline"/>
              <w:divId w:val="1529299306"/>
              <w:rPr>
                <w:rFonts w:ascii="Segoe UI" w:hAnsi="Segoe UI" w:cs="Segoe UI"/>
                <w:sz w:val="16"/>
                <w:szCs w:val="16"/>
              </w:rPr>
            </w:pPr>
            <w:r w:rsidRPr="00976D68">
              <w:rPr>
                <w:rStyle w:val="normaltextrun"/>
                <w:rFonts w:ascii="Helvetica" w:eastAsiaTheme="majorEastAsia" w:hAnsi="Helvetica" w:cs="Segoe UI"/>
                <w:color w:val="000000"/>
                <w:sz w:val="16"/>
                <w:szCs w:val="16"/>
                <w:lang w:val="en-US"/>
              </w:rPr>
              <w:t>Proficiency in the use of information technology</w:t>
            </w:r>
            <w:r w:rsidRPr="00976D68">
              <w:rPr>
                <w:rStyle w:val="eop"/>
                <w:rFonts w:ascii="Helvetica" w:hAnsi="Helvetica" w:cs="Segoe UI"/>
                <w:color w:val="000000"/>
                <w:sz w:val="16"/>
                <w:szCs w:val="16"/>
              </w:rPr>
              <w:t> </w:t>
            </w:r>
          </w:p>
        </w:tc>
      </w:tr>
      <w:tr w:rsidR="009F3088" w:rsidRPr="00C247F2" w14:paraId="5D67BB64" w14:textId="77777777" w:rsidTr="7F72991C">
        <w:trPr>
          <w:trHeight w:val="446"/>
        </w:trPr>
        <w:tc>
          <w:tcPr>
            <w:tcW w:w="1636" w:type="dxa"/>
            <w:shd w:val="clear" w:color="auto" w:fill="D9E2F3" w:themeFill="accent5" w:themeFillTint="33"/>
            <w:vAlign w:val="center"/>
          </w:tcPr>
          <w:p w14:paraId="05200A82" w14:textId="7D153317" w:rsidR="009F3088" w:rsidRPr="00C247F2" w:rsidRDefault="009F3088" w:rsidP="00C05FF8">
            <w:pPr>
              <w:autoSpaceDE w:val="0"/>
              <w:autoSpaceDN w:val="0"/>
              <w:rPr>
                <w:rFonts w:ascii="Helvetica" w:eastAsia="ＭＳ ゴシック" w:hAnsi="Helvetica" w:cs="Times New Roman"/>
                <w:sz w:val="16"/>
                <w:szCs w:val="16"/>
              </w:rPr>
            </w:pPr>
            <w:r w:rsidRPr="00C247F2">
              <w:rPr>
                <w:rFonts w:ascii="Helvetica" w:eastAsia="ＭＳ ゴシック" w:hAnsi="Helvetica" w:cs="Times New Roman"/>
                <w:sz w:val="16"/>
                <w:szCs w:val="16"/>
              </w:rPr>
              <w:t>NOTES</w:t>
            </w:r>
          </w:p>
        </w:tc>
        <w:tc>
          <w:tcPr>
            <w:tcW w:w="8178" w:type="dxa"/>
            <w:gridSpan w:val="3"/>
            <w:vAlign w:val="center"/>
          </w:tcPr>
          <w:p w14:paraId="2B6FB15A" w14:textId="77777777" w:rsidR="00A46258" w:rsidRPr="00C247F2" w:rsidRDefault="00A46258" w:rsidP="00692FF0">
            <w:pPr>
              <w:autoSpaceDE w:val="0"/>
              <w:autoSpaceDN w:val="0"/>
              <w:jc w:val="left"/>
              <w:rPr>
                <w:rFonts w:ascii="Helvetica" w:hAnsi="Helvetica" w:cs="Times New Roman"/>
                <w:sz w:val="16"/>
                <w:szCs w:val="16"/>
              </w:rPr>
            </w:pPr>
            <w:r w:rsidRPr="00C247F2">
              <w:rPr>
                <w:rFonts w:ascii="Helvetica" w:hAnsi="Helvetica" w:cs="Times New Roman"/>
                <w:sz w:val="16"/>
                <w:szCs w:val="16"/>
              </w:rPr>
              <w:t xml:space="preserve">1) Students are expected to have a charged mobile device or laptop in class to access the various platforms and sites that will be used in the course. </w:t>
            </w:r>
          </w:p>
          <w:p w14:paraId="393FBDF9" w14:textId="29C738B0" w:rsidR="009F3088" w:rsidRPr="00C247F2" w:rsidRDefault="5FD8EF92" w:rsidP="00692FF0">
            <w:pPr>
              <w:autoSpaceDE w:val="0"/>
              <w:autoSpaceDN w:val="0"/>
              <w:jc w:val="left"/>
              <w:rPr>
                <w:rFonts w:ascii="Helvetica" w:hAnsi="Helvetica" w:cs="Times New Roman"/>
                <w:sz w:val="16"/>
                <w:szCs w:val="16"/>
              </w:rPr>
            </w:pPr>
            <w:r w:rsidRPr="5FD8EF92">
              <w:rPr>
                <w:rFonts w:ascii="Helvetica" w:hAnsi="Helvetica" w:cs="Times New Roman"/>
                <w:sz w:val="16"/>
                <w:szCs w:val="16"/>
              </w:rPr>
              <w:t>2) Automatic failure of the course will result from missing the equivalent of 10 classes. This includes late arrivals and early departures from class. Note that absence or tardiness will generally not be accepted as a valid excuse for incompletion or late submission of any task or assignment. Appropriate and timely communication by students to instructors is expected.</w:t>
            </w:r>
          </w:p>
        </w:tc>
      </w:tr>
    </w:tbl>
    <w:p w14:paraId="79CDE678" w14:textId="77777777" w:rsidR="00F14BBA" w:rsidRPr="00C247F2" w:rsidRDefault="00F14BBA" w:rsidP="008B0797">
      <w:pPr>
        <w:widowControl/>
        <w:jc w:val="left"/>
        <w:rPr>
          <w:rFonts w:ascii="ＭＳ ゴシック" w:eastAsia="ＭＳ ゴシック" w:hAnsi="ＭＳ ゴシック"/>
          <w:sz w:val="16"/>
          <w:szCs w:val="16"/>
        </w:rPr>
      </w:pPr>
    </w:p>
    <w:sectPr w:rsidR="00F14BBA" w:rsidRPr="00C247F2" w:rsidSect="00822335">
      <w:pgSz w:w="11906" w:h="16838" w:code="9"/>
      <w:pgMar w:top="1440" w:right="1077" w:bottom="1440"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7936" w14:textId="77777777" w:rsidR="00587A24" w:rsidRDefault="00587A24" w:rsidP="001C5D1D">
      <w:r>
        <w:separator/>
      </w:r>
    </w:p>
  </w:endnote>
  <w:endnote w:type="continuationSeparator" w:id="0">
    <w:p w14:paraId="41FF89F8" w14:textId="77777777" w:rsidR="00587A24" w:rsidRDefault="00587A24"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F5C0" w14:textId="77777777" w:rsidR="00587A24" w:rsidRDefault="00587A24" w:rsidP="001C5D1D">
      <w:r>
        <w:separator/>
      </w:r>
    </w:p>
  </w:footnote>
  <w:footnote w:type="continuationSeparator" w:id="0">
    <w:p w14:paraId="15066E65" w14:textId="77777777" w:rsidR="00587A24" w:rsidRDefault="00587A24"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8A2BFC"/>
    <w:multiLevelType w:val="multilevel"/>
    <w:tmpl w:val="458A52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B078D5"/>
    <w:multiLevelType w:val="multilevel"/>
    <w:tmpl w:val="96F22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0746E9"/>
    <w:multiLevelType w:val="multilevel"/>
    <w:tmpl w:val="2EB425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50E9"/>
    <w:multiLevelType w:val="hybridMultilevel"/>
    <w:tmpl w:val="64385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E63678"/>
    <w:multiLevelType w:val="hybridMultilevel"/>
    <w:tmpl w:val="ABF2F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AF95D65"/>
    <w:multiLevelType w:val="hybridMultilevel"/>
    <w:tmpl w:val="DFBA7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3553A"/>
    <w:multiLevelType w:val="hybridMultilevel"/>
    <w:tmpl w:val="C61A6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10"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827475"/>
    <w:multiLevelType w:val="multilevel"/>
    <w:tmpl w:val="10F26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9"/>
  </w:num>
  <w:num w:numId="3">
    <w:abstractNumId w:val="0"/>
  </w:num>
  <w:num w:numId="4">
    <w:abstractNumId w:val="12"/>
  </w:num>
  <w:num w:numId="5">
    <w:abstractNumId w:val="10"/>
  </w:num>
  <w:num w:numId="6">
    <w:abstractNumId w:val="3"/>
  </w:num>
  <w:num w:numId="7">
    <w:abstractNumId w:val="8"/>
  </w:num>
  <w:num w:numId="8">
    <w:abstractNumId w:val="7"/>
  </w:num>
  <w:num w:numId="9">
    <w:abstractNumId w:val="5"/>
  </w:num>
  <w:num w:numId="10">
    <w:abstractNumId w:val="2"/>
  </w:num>
  <w:num w:numId="11">
    <w:abstractNumId w:val="11"/>
  </w:num>
  <w:num w:numId="12">
    <w:abstractNumId w:val="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3B0F"/>
    <w:rsid w:val="0001117F"/>
    <w:rsid w:val="0003042F"/>
    <w:rsid w:val="00045985"/>
    <w:rsid w:val="0007455A"/>
    <w:rsid w:val="00095699"/>
    <w:rsid w:val="000A6C47"/>
    <w:rsid w:val="000B5B32"/>
    <w:rsid w:val="000D32B7"/>
    <w:rsid w:val="000E769A"/>
    <w:rsid w:val="000F42A7"/>
    <w:rsid w:val="00101FA7"/>
    <w:rsid w:val="001202AE"/>
    <w:rsid w:val="00141DB4"/>
    <w:rsid w:val="00146AAA"/>
    <w:rsid w:val="00150437"/>
    <w:rsid w:val="001661A6"/>
    <w:rsid w:val="00185C1B"/>
    <w:rsid w:val="001A347B"/>
    <w:rsid w:val="001C5D1D"/>
    <w:rsid w:val="001D7CF4"/>
    <w:rsid w:val="00217088"/>
    <w:rsid w:val="0023017F"/>
    <w:rsid w:val="00237A48"/>
    <w:rsid w:val="002441C4"/>
    <w:rsid w:val="0024772B"/>
    <w:rsid w:val="0026268F"/>
    <w:rsid w:val="00266716"/>
    <w:rsid w:val="002A5B7D"/>
    <w:rsid w:val="002C4AE8"/>
    <w:rsid w:val="002D2C35"/>
    <w:rsid w:val="002F4120"/>
    <w:rsid w:val="00300A69"/>
    <w:rsid w:val="00310862"/>
    <w:rsid w:val="0031783A"/>
    <w:rsid w:val="00324798"/>
    <w:rsid w:val="003271E9"/>
    <w:rsid w:val="003305F4"/>
    <w:rsid w:val="003413B9"/>
    <w:rsid w:val="00342F10"/>
    <w:rsid w:val="00361B97"/>
    <w:rsid w:val="00385F35"/>
    <w:rsid w:val="00394690"/>
    <w:rsid w:val="00396A6F"/>
    <w:rsid w:val="003B2BAD"/>
    <w:rsid w:val="003C1379"/>
    <w:rsid w:val="003F0B04"/>
    <w:rsid w:val="003F236C"/>
    <w:rsid w:val="00402CAC"/>
    <w:rsid w:val="00420D2A"/>
    <w:rsid w:val="00437BD4"/>
    <w:rsid w:val="00442101"/>
    <w:rsid w:val="004468E6"/>
    <w:rsid w:val="00460BCB"/>
    <w:rsid w:val="0047456A"/>
    <w:rsid w:val="004948EC"/>
    <w:rsid w:val="004E23FC"/>
    <w:rsid w:val="0050486B"/>
    <w:rsid w:val="005135CD"/>
    <w:rsid w:val="00527EC1"/>
    <w:rsid w:val="00530DF3"/>
    <w:rsid w:val="005362FD"/>
    <w:rsid w:val="00573794"/>
    <w:rsid w:val="00587A24"/>
    <w:rsid w:val="00590FEB"/>
    <w:rsid w:val="005B3587"/>
    <w:rsid w:val="005C091D"/>
    <w:rsid w:val="005C7A6E"/>
    <w:rsid w:val="005D0708"/>
    <w:rsid w:val="005E5B6E"/>
    <w:rsid w:val="00617462"/>
    <w:rsid w:val="006328B3"/>
    <w:rsid w:val="006446A6"/>
    <w:rsid w:val="00650853"/>
    <w:rsid w:val="00657999"/>
    <w:rsid w:val="006620F4"/>
    <w:rsid w:val="00682781"/>
    <w:rsid w:val="006914C4"/>
    <w:rsid w:val="00692FF0"/>
    <w:rsid w:val="006D30D0"/>
    <w:rsid w:val="006D5212"/>
    <w:rsid w:val="006E3A1B"/>
    <w:rsid w:val="006E55BC"/>
    <w:rsid w:val="006E59B8"/>
    <w:rsid w:val="006F08A8"/>
    <w:rsid w:val="0070062B"/>
    <w:rsid w:val="00720F21"/>
    <w:rsid w:val="0073285B"/>
    <w:rsid w:val="0073478B"/>
    <w:rsid w:val="00735DA8"/>
    <w:rsid w:val="00746A52"/>
    <w:rsid w:val="00746A78"/>
    <w:rsid w:val="00754413"/>
    <w:rsid w:val="007674E1"/>
    <w:rsid w:val="0077028B"/>
    <w:rsid w:val="00770F33"/>
    <w:rsid w:val="007A338E"/>
    <w:rsid w:val="007B0F29"/>
    <w:rsid w:val="007B59A7"/>
    <w:rsid w:val="007D0EB8"/>
    <w:rsid w:val="007D5A35"/>
    <w:rsid w:val="007E17AA"/>
    <w:rsid w:val="007E3FEF"/>
    <w:rsid w:val="007E6BB4"/>
    <w:rsid w:val="007F1A88"/>
    <w:rsid w:val="00800053"/>
    <w:rsid w:val="00807035"/>
    <w:rsid w:val="00810D47"/>
    <w:rsid w:val="00822335"/>
    <w:rsid w:val="008327FE"/>
    <w:rsid w:val="008577D8"/>
    <w:rsid w:val="00863871"/>
    <w:rsid w:val="008711B9"/>
    <w:rsid w:val="00890FE3"/>
    <w:rsid w:val="00893DCF"/>
    <w:rsid w:val="008B0797"/>
    <w:rsid w:val="008B662C"/>
    <w:rsid w:val="008B7187"/>
    <w:rsid w:val="008D3F7E"/>
    <w:rsid w:val="008E0D5B"/>
    <w:rsid w:val="008F70E3"/>
    <w:rsid w:val="00902A0E"/>
    <w:rsid w:val="00915B90"/>
    <w:rsid w:val="009701B9"/>
    <w:rsid w:val="00973097"/>
    <w:rsid w:val="009758A1"/>
    <w:rsid w:val="00976D68"/>
    <w:rsid w:val="00986ECE"/>
    <w:rsid w:val="009A15A3"/>
    <w:rsid w:val="009C2844"/>
    <w:rsid w:val="009D6EF1"/>
    <w:rsid w:val="009E0973"/>
    <w:rsid w:val="009E2EC4"/>
    <w:rsid w:val="009F3088"/>
    <w:rsid w:val="009F5FEE"/>
    <w:rsid w:val="00A03425"/>
    <w:rsid w:val="00A14F0A"/>
    <w:rsid w:val="00A263C3"/>
    <w:rsid w:val="00A3291B"/>
    <w:rsid w:val="00A46258"/>
    <w:rsid w:val="00A51A2B"/>
    <w:rsid w:val="00A55459"/>
    <w:rsid w:val="00A708A9"/>
    <w:rsid w:val="00A70A3A"/>
    <w:rsid w:val="00A72ACD"/>
    <w:rsid w:val="00A8057D"/>
    <w:rsid w:val="00A86469"/>
    <w:rsid w:val="00A87955"/>
    <w:rsid w:val="00AC0FF7"/>
    <w:rsid w:val="00AD4951"/>
    <w:rsid w:val="00AE5BEC"/>
    <w:rsid w:val="00AF3D08"/>
    <w:rsid w:val="00AF6753"/>
    <w:rsid w:val="00B039B8"/>
    <w:rsid w:val="00B05A6B"/>
    <w:rsid w:val="00B15739"/>
    <w:rsid w:val="00B159EF"/>
    <w:rsid w:val="00B4106F"/>
    <w:rsid w:val="00B412B4"/>
    <w:rsid w:val="00B53ECF"/>
    <w:rsid w:val="00B57B43"/>
    <w:rsid w:val="00B744EB"/>
    <w:rsid w:val="00B81C9C"/>
    <w:rsid w:val="00B96E76"/>
    <w:rsid w:val="00BB7086"/>
    <w:rsid w:val="00BD6047"/>
    <w:rsid w:val="00BE2B52"/>
    <w:rsid w:val="00BE3409"/>
    <w:rsid w:val="00BE3458"/>
    <w:rsid w:val="00BF5954"/>
    <w:rsid w:val="00C0005E"/>
    <w:rsid w:val="00C030B7"/>
    <w:rsid w:val="00C05FF8"/>
    <w:rsid w:val="00C15E87"/>
    <w:rsid w:val="00C22258"/>
    <w:rsid w:val="00C227FD"/>
    <w:rsid w:val="00C247F2"/>
    <w:rsid w:val="00C50E61"/>
    <w:rsid w:val="00C51313"/>
    <w:rsid w:val="00C70AF3"/>
    <w:rsid w:val="00C7656C"/>
    <w:rsid w:val="00C84EA4"/>
    <w:rsid w:val="00C91001"/>
    <w:rsid w:val="00CA40D3"/>
    <w:rsid w:val="00CB72A1"/>
    <w:rsid w:val="00CC0C34"/>
    <w:rsid w:val="00CD3607"/>
    <w:rsid w:val="00D061C2"/>
    <w:rsid w:val="00D2175D"/>
    <w:rsid w:val="00D32672"/>
    <w:rsid w:val="00D341FC"/>
    <w:rsid w:val="00D67709"/>
    <w:rsid w:val="00D67C36"/>
    <w:rsid w:val="00D76BF3"/>
    <w:rsid w:val="00D933BA"/>
    <w:rsid w:val="00DA1411"/>
    <w:rsid w:val="00DC0FA2"/>
    <w:rsid w:val="00DD74B3"/>
    <w:rsid w:val="00DF5916"/>
    <w:rsid w:val="00E01A2E"/>
    <w:rsid w:val="00E0252F"/>
    <w:rsid w:val="00E067AD"/>
    <w:rsid w:val="00E156D6"/>
    <w:rsid w:val="00E24232"/>
    <w:rsid w:val="00E61083"/>
    <w:rsid w:val="00E66358"/>
    <w:rsid w:val="00E70B86"/>
    <w:rsid w:val="00E73717"/>
    <w:rsid w:val="00E91E4F"/>
    <w:rsid w:val="00E969DC"/>
    <w:rsid w:val="00EB3903"/>
    <w:rsid w:val="00EE1814"/>
    <w:rsid w:val="00F00F80"/>
    <w:rsid w:val="00F06C3F"/>
    <w:rsid w:val="00F14BBA"/>
    <w:rsid w:val="00F507AE"/>
    <w:rsid w:val="00F511B1"/>
    <w:rsid w:val="00F5126E"/>
    <w:rsid w:val="00F5541B"/>
    <w:rsid w:val="00F806B9"/>
    <w:rsid w:val="00FA6A7A"/>
    <w:rsid w:val="00FB02EC"/>
    <w:rsid w:val="00FD5CEE"/>
    <w:rsid w:val="1E7FCED0"/>
    <w:rsid w:val="463D0C53"/>
    <w:rsid w:val="5FD8EF92"/>
    <w:rsid w:val="7DF10B59"/>
    <w:rsid w:val="7F7299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A6B"/>
    <w:pPr>
      <w:adjustRightInd w:val="0"/>
      <w:ind w:leftChars="400" w:left="840"/>
    </w:pPr>
    <w:rPr>
      <w:rFonts w:ascii="Century" w:hAnsi="Century" w:cs="ＭＳ 明朝"/>
      <w:color w:val="000000"/>
      <w:kern w:val="0"/>
      <w:szCs w:val="21"/>
    </w:rPr>
  </w:style>
  <w:style w:type="paragraph" w:styleId="BalloonText">
    <w:name w:val="Balloon Text"/>
    <w:basedOn w:val="Normal"/>
    <w:link w:val="BalloonTextChar"/>
    <w:uiPriority w:val="99"/>
    <w:unhideWhenUsed/>
    <w:rsid w:val="00D2175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D2175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C5D1D"/>
    <w:pPr>
      <w:tabs>
        <w:tab w:val="center" w:pos="4252"/>
        <w:tab w:val="right" w:pos="8504"/>
      </w:tabs>
      <w:snapToGrid w:val="0"/>
    </w:pPr>
  </w:style>
  <w:style w:type="character" w:customStyle="1" w:styleId="HeaderChar">
    <w:name w:val="Header Char"/>
    <w:basedOn w:val="DefaultParagraphFont"/>
    <w:link w:val="Header"/>
    <w:uiPriority w:val="99"/>
    <w:rsid w:val="001C5D1D"/>
  </w:style>
  <w:style w:type="paragraph" w:styleId="Footer">
    <w:name w:val="footer"/>
    <w:basedOn w:val="Normal"/>
    <w:link w:val="FooterChar"/>
    <w:uiPriority w:val="99"/>
    <w:unhideWhenUsed/>
    <w:rsid w:val="001C5D1D"/>
    <w:pPr>
      <w:tabs>
        <w:tab w:val="center" w:pos="4252"/>
        <w:tab w:val="right" w:pos="8504"/>
      </w:tabs>
      <w:snapToGrid w:val="0"/>
    </w:pPr>
  </w:style>
  <w:style w:type="character" w:customStyle="1" w:styleId="FooterChar">
    <w:name w:val="Footer Char"/>
    <w:basedOn w:val="DefaultParagraphFont"/>
    <w:link w:val="Footer"/>
    <w:uiPriority w:val="99"/>
    <w:rsid w:val="001C5D1D"/>
  </w:style>
  <w:style w:type="character" w:styleId="Hyperlink">
    <w:name w:val="Hyperlink"/>
    <w:basedOn w:val="DefaultParagraphFont"/>
    <w:uiPriority w:val="99"/>
    <w:unhideWhenUsed/>
    <w:rsid w:val="006620F4"/>
    <w:rPr>
      <w:color w:val="0563C1" w:themeColor="hyperlink"/>
      <w:u w:val="single"/>
    </w:rPr>
  </w:style>
  <w:style w:type="character" w:styleId="UnresolvedMention">
    <w:name w:val="Unresolved Mention"/>
    <w:basedOn w:val="DefaultParagraphFont"/>
    <w:uiPriority w:val="99"/>
    <w:semiHidden/>
    <w:unhideWhenUsed/>
    <w:rsid w:val="006620F4"/>
    <w:rPr>
      <w:color w:val="605E5C"/>
      <w:shd w:val="clear" w:color="auto" w:fill="E1DFDD"/>
    </w:rPr>
  </w:style>
  <w:style w:type="character" w:styleId="FollowedHyperlink">
    <w:name w:val="FollowedHyperlink"/>
    <w:basedOn w:val="DefaultParagraphFont"/>
    <w:uiPriority w:val="99"/>
    <w:semiHidden/>
    <w:unhideWhenUsed/>
    <w:rsid w:val="00C50E61"/>
    <w:rPr>
      <w:color w:val="954F72" w:themeColor="followedHyperlink"/>
      <w:u w:val="single"/>
    </w:rPr>
  </w:style>
  <w:style w:type="paragraph" w:styleId="NormalWeb">
    <w:name w:val="Normal (Web)"/>
    <w:basedOn w:val="Normal"/>
    <w:uiPriority w:val="99"/>
    <w:unhideWhenUsed/>
    <w:rsid w:val="00420D2A"/>
    <w:pPr>
      <w:widowControl/>
      <w:spacing w:before="100" w:beforeAutospacing="1" w:after="100" w:afterAutospacing="1"/>
      <w:jc w:val="left"/>
    </w:pPr>
    <w:rPr>
      <w:rFonts w:ascii="Times New Roman" w:eastAsia="Times New Roman" w:hAnsi="Times New Roman" w:cs="Times New Roman"/>
      <w:kern w:val="0"/>
      <w:sz w:val="24"/>
      <w:szCs w:val="24"/>
      <w:lang w:eastAsia="zh-CN"/>
    </w:rPr>
  </w:style>
  <w:style w:type="character" w:customStyle="1" w:styleId="normaltextrun">
    <w:name w:val="normaltextrun"/>
    <w:basedOn w:val="DefaultParagraphFont"/>
    <w:rsid w:val="00976D68"/>
  </w:style>
  <w:style w:type="character" w:customStyle="1" w:styleId="eop">
    <w:name w:val="eop"/>
    <w:basedOn w:val="DefaultParagraphFont"/>
    <w:rsid w:val="00976D68"/>
  </w:style>
  <w:style w:type="paragraph" w:customStyle="1" w:styleId="paragraph">
    <w:name w:val="paragraph"/>
    <w:basedOn w:val="Normal"/>
    <w:rsid w:val="00976D68"/>
    <w:pPr>
      <w:widowControl/>
      <w:spacing w:before="100" w:beforeAutospacing="1" w:after="100" w:afterAutospacing="1"/>
      <w:jc w:val="left"/>
    </w:pPr>
    <w:rPr>
      <w:rFonts w:ascii="Times New Roman" w:eastAsia="Times New Roman" w:hAnsi="Times New Roman" w:cs="Times New Roman"/>
      <w:kern w:val="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 w:id="72245923">
      <w:bodyDiv w:val="1"/>
      <w:marLeft w:val="0"/>
      <w:marRight w:val="0"/>
      <w:marTop w:val="0"/>
      <w:marBottom w:val="0"/>
      <w:divBdr>
        <w:top w:val="none" w:sz="0" w:space="0" w:color="auto"/>
        <w:left w:val="none" w:sz="0" w:space="0" w:color="auto"/>
        <w:bottom w:val="none" w:sz="0" w:space="0" w:color="auto"/>
        <w:right w:val="none" w:sz="0" w:space="0" w:color="auto"/>
      </w:divBdr>
      <w:divsChild>
        <w:div w:id="1686203384">
          <w:marLeft w:val="0"/>
          <w:marRight w:val="0"/>
          <w:marTop w:val="0"/>
          <w:marBottom w:val="0"/>
          <w:divBdr>
            <w:top w:val="none" w:sz="0" w:space="0" w:color="auto"/>
            <w:left w:val="none" w:sz="0" w:space="0" w:color="auto"/>
            <w:bottom w:val="none" w:sz="0" w:space="0" w:color="auto"/>
            <w:right w:val="none" w:sz="0" w:space="0" w:color="auto"/>
          </w:divBdr>
          <w:divsChild>
            <w:div w:id="1529299306">
              <w:marLeft w:val="0"/>
              <w:marRight w:val="0"/>
              <w:marTop w:val="0"/>
              <w:marBottom w:val="0"/>
              <w:divBdr>
                <w:top w:val="none" w:sz="0" w:space="0" w:color="auto"/>
                <w:left w:val="none" w:sz="0" w:space="0" w:color="auto"/>
                <w:bottom w:val="none" w:sz="0" w:space="0" w:color="auto"/>
                <w:right w:val="none" w:sz="0" w:space="0" w:color="auto"/>
              </w:divBdr>
            </w:div>
            <w:div w:id="1713308552">
              <w:marLeft w:val="0"/>
              <w:marRight w:val="0"/>
              <w:marTop w:val="0"/>
              <w:marBottom w:val="0"/>
              <w:divBdr>
                <w:top w:val="none" w:sz="0" w:space="0" w:color="auto"/>
                <w:left w:val="none" w:sz="0" w:space="0" w:color="auto"/>
                <w:bottom w:val="none" w:sz="0" w:space="0" w:color="auto"/>
                <w:right w:val="none" w:sz="0" w:space="0" w:color="auto"/>
              </w:divBdr>
            </w:div>
            <w:div w:id="1439642988">
              <w:marLeft w:val="0"/>
              <w:marRight w:val="0"/>
              <w:marTop w:val="0"/>
              <w:marBottom w:val="0"/>
              <w:divBdr>
                <w:top w:val="none" w:sz="0" w:space="0" w:color="auto"/>
                <w:left w:val="none" w:sz="0" w:space="0" w:color="auto"/>
                <w:bottom w:val="none" w:sz="0" w:space="0" w:color="auto"/>
                <w:right w:val="none" w:sz="0" w:space="0" w:color="auto"/>
              </w:divBdr>
            </w:div>
            <w:div w:id="154617132">
              <w:marLeft w:val="0"/>
              <w:marRight w:val="0"/>
              <w:marTop w:val="0"/>
              <w:marBottom w:val="0"/>
              <w:divBdr>
                <w:top w:val="none" w:sz="0" w:space="0" w:color="auto"/>
                <w:left w:val="none" w:sz="0" w:space="0" w:color="auto"/>
                <w:bottom w:val="none" w:sz="0" w:space="0" w:color="auto"/>
                <w:right w:val="none" w:sz="0" w:space="0" w:color="auto"/>
              </w:divBdr>
            </w:div>
            <w:div w:id="19598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2023">
      <w:bodyDiv w:val="1"/>
      <w:marLeft w:val="0"/>
      <w:marRight w:val="0"/>
      <w:marTop w:val="0"/>
      <w:marBottom w:val="0"/>
      <w:divBdr>
        <w:top w:val="none" w:sz="0" w:space="0" w:color="auto"/>
        <w:left w:val="none" w:sz="0" w:space="0" w:color="auto"/>
        <w:bottom w:val="none" w:sz="0" w:space="0" w:color="auto"/>
        <w:right w:val="none" w:sz="0" w:space="0" w:color="auto"/>
      </w:divBdr>
      <w:divsChild>
        <w:div w:id="1917086085">
          <w:marLeft w:val="0"/>
          <w:marRight w:val="0"/>
          <w:marTop w:val="0"/>
          <w:marBottom w:val="0"/>
          <w:divBdr>
            <w:top w:val="none" w:sz="0" w:space="0" w:color="auto"/>
            <w:left w:val="none" w:sz="0" w:space="0" w:color="auto"/>
            <w:bottom w:val="none" w:sz="0" w:space="0" w:color="auto"/>
            <w:right w:val="none" w:sz="0" w:space="0" w:color="auto"/>
          </w:divBdr>
          <w:divsChild>
            <w:div w:id="857740065">
              <w:marLeft w:val="0"/>
              <w:marRight w:val="0"/>
              <w:marTop w:val="0"/>
              <w:marBottom w:val="0"/>
              <w:divBdr>
                <w:top w:val="none" w:sz="0" w:space="0" w:color="auto"/>
                <w:left w:val="none" w:sz="0" w:space="0" w:color="auto"/>
                <w:bottom w:val="none" w:sz="0" w:space="0" w:color="auto"/>
                <w:right w:val="none" w:sz="0" w:space="0" w:color="auto"/>
              </w:divBdr>
              <w:divsChild>
                <w:div w:id="1309088609">
                  <w:marLeft w:val="0"/>
                  <w:marRight w:val="0"/>
                  <w:marTop w:val="0"/>
                  <w:marBottom w:val="0"/>
                  <w:divBdr>
                    <w:top w:val="none" w:sz="0" w:space="0" w:color="auto"/>
                    <w:left w:val="none" w:sz="0" w:space="0" w:color="auto"/>
                    <w:bottom w:val="none" w:sz="0" w:space="0" w:color="auto"/>
                    <w:right w:val="none" w:sz="0" w:space="0" w:color="auto"/>
                  </w:divBdr>
                  <w:divsChild>
                    <w:div w:id="413627218">
                      <w:marLeft w:val="0"/>
                      <w:marRight w:val="0"/>
                      <w:marTop w:val="0"/>
                      <w:marBottom w:val="0"/>
                      <w:divBdr>
                        <w:top w:val="none" w:sz="0" w:space="0" w:color="auto"/>
                        <w:left w:val="none" w:sz="0" w:space="0" w:color="auto"/>
                        <w:bottom w:val="none" w:sz="0" w:space="0" w:color="auto"/>
                        <w:right w:val="none" w:sz="0" w:space="0" w:color="auto"/>
                      </w:divBdr>
                    </w:div>
                  </w:divsChild>
                </w:div>
                <w:div w:id="1290286565">
                  <w:marLeft w:val="0"/>
                  <w:marRight w:val="0"/>
                  <w:marTop w:val="0"/>
                  <w:marBottom w:val="0"/>
                  <w:divBdr>
                    <w:top w:val="none" w:sz="0" w:space="0" w:color="auto"/>
                    <w:left w:val="none" w:sz="0" w:space="0" w:color="auto"/>
                    <w:bottom w:val="none" w:sz="0" w:space="0" w:color="auto"/>
                    <w:right w:val="none" w:sz="0" w:space="0" w:color="auto"/>
                  </w:divBdr>
                  <w:divsChild>
                    <w:div w:id="1523669119">
                      <w:marLeft w:val="0"/>
                      <w:marRight w:val="0"/>
                      <w:marTop w:val="0"/>
                      <w:marBottom w:val="0"/>
                      <w:divBdr>
                        <w:top w:val="none" w:sz="0" w:space="0" w:color="auto"/>
                        <w:left w:val="none" w:sz="0" w:space="0" w:color="auto"/>
                        <w:bottom w:val="none" w:sz="0" w:space="0" w:color="auto"/>
                        <w:right w:val="none" w:sz="0" w:space="0" w:color="auto"/>
                      </w:divBdr>
                    </w:div>
                    <w:div w:id="7847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12289">
      <w:bodyDiv w:val="1"/>
      <w:marLeft w:val="0"/>
      <w:marRight w:val="0"/>
      <w:marTop w:val="0"/>
      <w:marBottom w:val="0"/>
      <w:divBdr>
        <w:top w:val="none" w:sz="0" w:space="0" w:color="auto"/>
        <w:left w:val="none" w:sz="0" w:space="0" w:color="auto"/>
        <w:bottom w:val="none" w:sz="0" w:space="0" w:color="auto"/>
        <w:right w:val="none" w:sz="0" w:space="0" w:color="auto"/>
      </w:divBdr>
      <w:divsChild>
        <w:div w:id="1680158926">
          <w:marLeft w:val="0"/>
          <w:marRight w:val="0"/>
          <w:marTop w:val="0"/>
          <w:marBottom w:val="0"/>
          <w:divBdr>
            <w:top w:val="none" w:sz="0" w:space="0" w:color="auto"/>
            <w:left w:val="none" w:sz="0" w:space="0" w:color="auto"/>
            <w:bottom w:val="none" w:sz="0" w:space="0" w:color="auto"/>
            <w:right w:val="none" w:sz="0" w:space="0" w:color="auto"/>
          </w:divBdr>
          <w:divsChild>
            <w:div w:id="690843508">
              <w:marLeft w:val="0"/>
              <w:marRight w:val="0"/>
              <w:marTop w:val="0"/>
              <w:marBottom w:val="0"/>
              <w:divBdr>
                <w:top w:val="none" w:sz="0" w:space="0" w:color="auto"/>
                <w:left w:val="none" w:sz="0" w:space="0" w:color="auto"/>
                <w:bottom w:val="none" w:sz="0" w:space="0" w:color="auto"/>
                <w:right w:val="none" w:sz="0" w:space="0" w:color="auto"/>
              </w:divBdr>
              <w:divsChild>
                <w:div w:id="1563444076">
                  <w:marLeft w:val="0"/>
                  <w:marRight w:val="0"/>
                  <w:marTop w:val="0"/>
                  <w:marBottom w:val="0"/>
                  <w:divBdr>
                    <w:top w:val="none" w:sz="0" w:space="0" w:color="auto"/>
                    <w:left w:val="none" w:sz="0" w:space="0" w:color="auto"/>
                    <w:bottom w:val="none" w:sz="0" w:space="0" w:color="auto"/>
                    <w:right w:val="none" w:sz="0" w:space="0" w:color="auto"/>
                  </w:divBdr>
                  <w:divsChild>
                    <w:div w:id="14570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97807">
      <w:bodyDiv w:val="1"/>
      <w:marLeft w:val="0"/>
      <w:marRight w:val="0"/>
      <w:marTop w:val="0"/>
      <w:marBottom w:val="0"/>
      <w:divBdr>
        <w:top w:val="none" w:sz="0" w:space="0" w:color="auto"/>
        <w:left w:val="none" w:sz="0" w:space="0" w:color="auto"/>
        <w:bottom w:val="none" w:sz="0" w:space="0" w:color="auto"/>
        <w:right w:val="none" w:sz="0" w:space="0" w:color="auto"/>
      </w:divBdr>
      <w:divsChild>
        <w:div w:id="1006905307">
          <w:marLeft w:val="0"/>
          <w:marRight w:val="0"/>
          <w:marTop w:val="0"/>
          <w:marBottom w:val="0"/>
          <w:divBdr>
            <w:top w:val="none" w:sz="0" w:space="0" w:color="auto"/>
            <w:left w:val="none" w:sz="0" w:space="0" w:color="auto"/>
            <w:bottom w:val="none" w:sz="0" w:space="0" w:color="auto"/>
            <w:right w:val="none" w:sz="0" w:space="0" w:color="auto"/>
          </w:divBdr>
          <w:divsChild>
            <w:div w:id="1467812846">
              <w:marLeft w:val="0"/>
              <w:marRight w:val="0"/>
              <w:marTop w:val="0"/>
              <w:marBottom w:val="0"/>
              <w:divBdr>
                <w:top w:val="none" w:sz="0" w:space="0" w:color="auto"/>
                <w:left w:val="none" w:sz="0" w:space="0" w:color="auto"/>
                <w:bottom w:val="none" w:sz="0" w:space="0" w:color="auto"/>
                <w:right w:val="none" w:sz="0" w:space="0" w:color="auto"/>
              </w:divBdr>
              <w:divsChild>
                <w:div w:id="623729229">
                  <w:marLeft w:val="0"/>
                  <w:marRight w:val="0"/>
                  <w:marTop w:val="0"/>
                  <w:marBottom w:val="0"/>
                  <w:divBdr>
                    <w:top w:val="none" w:sz="0" w:space="0" w:color="auto"/>
                    <w:left w:val="none" w:sz="0" w:space="0" w:color="auto"/>
                    <w:bottom w:val="none" w:sz="0" w:space="0" w:color="auto"/>
                    <w:right w:val="none" w:sz="0" w:space="0" w:color="auto"/>
                  </w:divBdr>
                  <w:divsChild>
                    <w:div w:id="8914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Anne Howard</cp:lastModifiedBy>
  <cp:revision>2</cp:revision>
  <cp:lastPrinted>2021-09-29T03:57:00Z</cp:lastPrinted>
  <dcterms:created xsi:type="dcterms:W3CDTF">2022-03-30T07:07:00Z</dcterms:created>
  <dcterms:modified xsi:type="dcterms:W3CDTF">2022-03-30T07:07:00Z</dcterms:modified>
</cp:coreProperties>
</file>