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636"/>
        <w:gridCol w:w="3184"/>
        <w:gridCol w:w="1984"/>
        <w:gridCol w:w="3010"/>
      </w:tblGrid>
      <w:tr w:rsidR="00C05FF8" w:rsidRPr="00FB02EC" w14:paraId="2E975EF0" w14:textId="77777777" w:rsidTr="003C1379">
        <w:trPr>
          <w:trHeight w:val="202"/>
        </w:trPr>
        <w:tc>
          <w:tcPr>
            <w:tcW w:w="1636" w:type="dxa"/>
            <w:vMerge w:val="restart"/>
            <w:shd w:val="clear" w:color="auto" w:fill="D9E2F3" w:themeFill="accent5" w:themeFillTint="33"/>
            <w:vAlign w:val="center"/>
          </w:tcPr>
          <w:p w14:paraId="05D0AC20" w14:textId="0774908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授業科目名</w:t>
            </w:r>
          </w:p>
        </w:tc>
        <w:tc>
          <w:tcPr>
            <w:tcW w:w="3184" w:type="dxa"/>
            <w:vMerge w:val="restart"/>
            <w:vAlign w:val="center"/>
          </w:tcPr>
          <w:p w14:paraId="3167FEA0" w14:textId="4C268718" w:rsidR="00C05FF8" w:rsidRPr="00FB02EC" w:rsidRDefault="003D5857" w:rsidP="00C05FF8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会計学Ⅰ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7DA00009" w14:textId="031F7EB4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教員名</w:t>
            </w:r>
          </w:p>
        </w:tc>
        <w:tc>
          <w:tcPr>
            <w:tcW w:w="3010" w:type="dxa"/>
            <w:vAlign w:val="center"/>
          </w:tcPr>
          <w:p w14:paraId="077BAC8D" w14:textId="2AA35406" w:rsidR="00C05FF8" w:rsidRPr="00FB02EC" w:rsidRDefault="008179DF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井藤哉</w:t>
            </w:r>
          </w:p>
        </w:tc>
      </w:tr>
      <w:tr w:rsidR="005362FD" w:rsidRPr="00FB02EC" w14:paraId="38DB2B14" w14:textId="77777777" w:rsidTr="003C1379">
        <w:trPr>
          <w:trHeight w:val="202"/>
        </w:trPr>
        <w:tc>
          <w:tcPr>
            <w:tcW w:w="163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242D877B" w14:textId="77777777" w:rsidR="005362FD" w:rsidRPr="00FB02EC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01B34058" w14:textId="76C31CF1" w:rsidR="005362FD" w:rsidRDefault="00C05FF8" w:rsidP="00FB02E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3010" w:type="dxa"/>
            <w:vAlign w:val="center"/>
          </w:tcPr>
          <w:p w14:paraId="54B82E75" w14:textId="2C7D9B3C" w:rsidR="005362FD" w:rsidRPr="00FB02EC" w:rsidRDefault="008179DF" w:rsidP="008B07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－</w:t>
            </w:r>
          </w:p>
        </w:tc>
      </w:tr>
      <w:tr w:rsidR="00C05FF8" w:rsidRPr="00FB02EC" w14:paraId="338CE94E" w14:textId="77777777" w:rsidTr="003C1379">
        <w:trPr>
          <w:trHeight w:val="44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54205702" w14:textId="5500425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授業形態</w:t>
            </w:r>
          </w:p>
        </w:tc>
        <w:tc>
          <w:tcPr>
            <w:tcW w:w="3184" w:type="dxa"/>
            <w:vAlign w:val="center"/>
          </w:tcPr>
          <w:p w14:paraId="77B6CA7B" w14:textId="1429E33F" w:rsidR="00C05FF8" w:rsidRPr="00FB02EC" w:rsidRDefault="008179DF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講義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3A82B9F5" w14:textId="069F8F33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オフィスアワー</w:t>
            </w:r>
          </w:p>
        </w:tc>
        <w:tc>
          <w:tcPr>
            <w:tcW w:w="3010" w:type="dxa"/>
            <w:vAlign w:val="center"/>
          </w:tcPr>
          <w:p w14:paraId="74170E4F" w14:textId="59A1B976" w:rsidR="00C05FF8" w:rsidRPr="00FB02EC" w:rsidRDefault="008179DF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講義前後</w:t>
            </w:r>
          </w:p>
        </w:tc>
      </w:tr>
      <w:tr w:rsidR="00C05FF8" w:rsidRPr="00FB02EC" w14:paraId="572317D9" w14:textId="77777777" w:rsidTr="003C1379">
        <w:trPr>
          <w:trHeight w:val="44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3FDF31DF" w14:textId="0DC25B2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科目番号</w:t>
            </w:r>
          </w:p>
        </w:tc>
        <w:tc>
          <w:tcPr>
            <w:tcW w:w="3184" w:type="dxa"/>
            <w:vAlign w:val="center"/>
          </w:tcPr>
          <w:p w14:paraId="70891E5C" w14:textId="4CE5963D" w:rsidR="00C05FF8" w:rsidRPr="00FB02EC" w:rsidRDefault="00C05FF8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575EB445" w14:textId="51A90465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担当形態</w:t>
            </w:r>
          </w:p>
        </w:tc>
        <w:tc>
          <w:tcPr>
            <w:tcW w:w="3010" w:type="dxa"/>
            <w:vAlign w:val="center"/>
          </w:tcPr>
          <w:p w14:paraId="6F8B8967" w14:textId="65042E68" w:rsidR="00C05FF8" w:rsidRPr="00FB02EC" w:rsidRDefault="00C05FF8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05FF8" w:rsidRPr="00FB02EC" w14:paraId="4C5F84CA" w14:textId="77777777" w:rsidTr="003C1379">
        <w:trPr>
          <w:trHeight w:val="385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7856BB2B" w14:textId="518008EC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単位数</w:t>
            </w:r>
          </w:p>
        </w:tc>
        <w:tc>
          <w:tcPr>
            <w:tcW w:w="3184" w:type="dxa"/>
            <w:vAlign w:val="center"/>
          </w:tcPr>
          <w:p w14:paraId="32574A92" w14:textId="1EC16DFD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59D496E2" w14:textId="0160AB6A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配当年次</w:t>
            </w:r>
          </w:p>
        </w:tc>
        <w:tc>
          <w:tcPr>
            <w:tcW w:w="3010" w:type="dxa"/>
            <w:vAlign w:val="center"/>
          </w:tcPr>
          <w:p w14:paraId="14639BDF" w14:textId="1E1AADE8" w:rsidR="00C05FF8" w:rsidRPr="00FB02EC" w:rsidRDefault="00C05FF8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1379" w:rsidRPr="00FB02EC" w14:paraId="303390FC" w14:textId="77777777" w:rsidTr="003C1379">
        <w:trPr>
          <w:trHeight w:val="357"/>
        </w:trPr>
        <w:tc>
          <w:tcPr>
            <w:tcW w:w="4820" w:type="dxa"/>
            <w:gridSpan w:val="2"/>
            <w:shd w:val="clear" w:color="auto" w:fill="D9E2F3" w:themeFill="accent5" w:themeFillTint="33"/>
            <w:vAlign w:val="center"/>
          </w:tcPr>
          <w:p w14:paraId="0C21761C" w14:textId="77777777" w:rsidR="003C1379" w:rsidRPr="00FB02EC" w:rsidRDefault="003C1379" w:rsidP="00C05FF8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7ABCBFD3" w14:textId="7223C7D7" w:rsidR="003C1379" w:rsidRPr="003C1379" w:rsidRDefault="003C1379" w:rsidP="003C137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D9E2F3" w:themeColor="accent5" w:themeTint="33"/>
                <w:sz w:val="18"/>
                <w:szCs w:val="18"/>
              </w:rPr>
            </w:pPr>
            <w:r w:rsidRPr="003C137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卒業要件</w:t>
            </w:r>
          </w:p>
        </w:tc>
        <w:tc>
          <w:tcPr>
            <w:tcW w:w="3010" w:type="dxa"/>
            <w:vAlign w:val="center"/>
          </w:tcPr>
          <w:p w14:paraId="31C3662D" w14:textId="3C2A4BEC" w:rsidR="003C1379" w:rsidRPr="00FB02EC" w:rsidRDefault="003C1379" w:rsidP="003C137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必修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選択</w:t>
            </w:r>
          </w:p>
        </w:tc>
      </w:tr>
      <w:tr w:rsidR="00C05FF8" w:rsidRPr="00FB02EC" w14:paraId="521A80D4" w14:textId="77777777" w:rsidTr="00C15E87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D58E391" w14:textId="4C276FBB" w:rsidR="00C05FF8" w:rsidRPr="00FB02EC" w:rsidRDefault="00C05FF8" w:rsidP="00DD74B3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一般目標</w:t>
            </w:r>
          </w:p>
        </w:tc>
        <w:tc>
          <w:tcPr>
            <w:tcW w:w="8178" w:type="dxa"/>
            <w:gridSpan w:val="3"/>
            <w:vAlign w:val="center"/>
          </w:tcPr>
          <w:p w14:paraId="661F194D" w14:textId="701AFCAE" w:rsidR="00C05FF8" w:rsidRPr="00FB02EC" w:rsidRDefault="003D5857" w:rsidP="008179DF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本講義では、財務会計の基礎知識と、貸借対照表と損益計算書の役割りを理解することを目的とします。</w:t>
            </w:r>
          </w:p>
        </w:tc>
      </w:tr>
      <w:tr w:rsidR="00C05FF8" w:rsidRPr="00FB02EC" w14:paraId="17598A17" w14:textId="77777777" w:rsidTr="00C15E87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5DCD2765" w14:textId="1020A99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到達目標</w:t>
            </w:r>
          </w:p>
        </w:tc>
        <w:tc>
          <w:tcPr>
            <w:tcW w:w="8178" w:type="dxa"/>
            <w:gridSpan w:val="3"/>
            <w:vAlign w:val="center"/>
          </w:tcPr>
          <w:p w14:paraId="5ADA0BAE" w14:textId="341171B4" w:rsidR="003D5857" w:rsidRDefault="008179DF" w:rsidP="008179DF">
            <w:pPr>
              <w:autoSpaceDE w:val="0"/>
              <w:autoSpaceDN w:val="0"/>
              <w:ind w:left="270" w:hangingChars="150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="003D585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会計領域の体系を理解する。</w:t>
            </w:r>
          </w:p>
          <w:p w14:paraId="065DEC1A" w14:textId="6EA2BB48" w:rsidR="003D5857" w:rsidRDefault="008179DF" w:rsidP="008179DF">
            <w:pPr>
              <w:autoSpaceDE w:val="0"/>
              <w:autoSpaceDN w:val="0"/>
              <w:ind w:left="270" w:hangingChars="150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="003D585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会計の社会・企業での役割を理解する。</w:t>
            </w:r>
          </w:p>
          <w:p w14:paraId="184E8539" w14:textId="7FA62627" w:rsidR="00C05FF8" w:rsidRPr="008179DF" w:rsidRDefault="008179DF" w:rsidP="008179DF">
            <w:pPr>
              <w:autoSpaceDE w:val="0"/>
              <w:autoSpaceDN w:val="0"/>
              <w:ind w:left="270" w:hangingChars="150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  <w:r w:rsidR="003D585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社会および企業の活動を、会計的視点で観察できる。</w:t>
            </w:r>
          </w:p>
        </w:tc>
      </w:tr>
      <w:tr w:rsidR="00C05FF8" w:rsidRPr="00FB02EC" w14:paraId="5BB4E7FA" w14:textId="77777777" w:rsidTr="00C15E87">
        <w:trPr>
          <w:trHeight w:val="362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6113588A" w14:textId="1621A1BB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授業の概要</w:t>
            </w:r>
          </w:p>
        </w:tc>
        <w:tc>
          <w:tcPr>
            <w:tcW w:w="8178" w:type="dxa"/>
            <w:gridSpan w:val="3"/>
            <w:vAlign w:val="center"/>
          </w:tcPr>
          <w:p w14:paraId="4810260D" w14:textId="77777777" w:rsidR="008179DF" w:rsidRPr="008179DF" w:rsidRDefault="008179DF" w:rsidP="008179DF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>【授業の概要】</w:t>
            </w:r>
          </w:p>
          <w:p w14:paraId="63312193" w14:textId="77777777" w:rsidR="003D5857" w:rsidRPr="003D5857" w:rsidRDefault="003D5857" w:rsidP="003D5857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会計とは、企業等のお金の流れを記録・計算・報告するシステムです。会計学の学問領域は多岐にわたりますが、本講義は、会計学総論科目と位置付け、会計学の各領域を概略的に取り上げます。</w:t>
            </w:r>
          </w:p>
          <w:p w14:paraId="1845C5D9" w14:textId="77777777" w:rsidR="003D5857" w:rsidRDefault="003D5857" w:rsidP="003D5857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具体的な授業計画としては、会計領域を踏まえたうえで、財務会計と管理会計の特徴を理解します。その後、損益計算書、貸借対照表、キャッシュ・フロー計算書から会計基準の概要へと授業を進めていきます。</w:t>
            </w:r>
          </w:p>
          <w:p w14:paraId="401C8A32" w14:textId="77777777" w:rsidR="003D5857" w:rsidRDefault="003D5857" w:rsidP="003D585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A8EA0" w14:textId="47C3DDB0" w:rsidR="001C3DCC" w:rsidRDefault="001C3DCC" w:rsidP="003D585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【担当教員から】</w:t>
            </w:r>
          </w:p>
          <w:p w14:paraId="1D3B411C" w14:textId="77777777" w:rsidR="003D5857" w:rsidRPr="003D5857" w:rsidRDefault="003D5857" w:rsidP="003D5857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講義ごとにレジュメを配付します。</w:t>
            </w:r>
          </w:p>
          <w:p w14:paraId="053D9529" w14:textId="7A5EDA33" w:rsidR="003D5857" w:rsidRPr="003D5857" w:rsidRDefault="003D5857" w:rsidP="003D5857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参考資料については、適宜、講義の中で紹介します。</w:t>
            </w:r>
          </w:p>
          <w:p w14:paraId="35265006" w14:textId="5769C78A" w:rsidR="001C3DCC" w:rsidRDefault="003D5857" w:rsidP="003D5857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講義では、毎回、出席確認テストを実施します。</w:t>
            </w:r>
          </w:p>
          <w:p w14:paraId="2AB1A405" w14:textId="77777777" w:rsidR="001C3DCC" w:rsidRPr="008179DF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3634F" w14:textId="77777777" w:rsidR="008179DF" w:rsidRPr="008179DF" w:rsidRDefault="008179DF" w:rsidP="008179DF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>【実務経験を活かした授業内容】</w:t>
            </w:r>
          </w:p>
          <w:p w14:paraId="1A4171BC" w14:textId="7EC64041" w:rsidR="00C05FF8" w:rsidRPr="00FB02EC" w:rsidRDefault="008179DF" w:rsidP="008179DF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講義担当者は、税務・会計に関する実務経験を有しており、実務において利用されている資料の紹介など、より実践的な講義を展開します。　</w:t>
            </w:r>
          </w:p>
        </w:tc>
      </w:tr>
      <w:tr w:rsidR="00C05FF8" w:rsidRPr="00FB02EC" w14:paraId="15CE7E7E" w14:textId="77777777" w:rsidTr="00C15E87">
        <w:trPr>
          <w:trHeight w:val="1364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63441E1" w14:textId="17DDB7A4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ディプロマ・ポリシーとの関係</w:t>
            </w:r>
          </w:p>
        </w:tc>
        <w:tc>
          <w:tcPr>
            <w:tcW w:w="8178" w:type="dxa"/>
            <w:gridSpan w:val="3"/>
            <w:vAlign w:val="center"/>
          </w:tcPr>
          <w:p w14:paraId="5DD02955" w14:textId="169BEC23" w:rsidR="00C05FF8" w:rsidRPr="00FB02EC" w:rsidRDefault="008179DF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お任せします。</w:t>
            </w:r>
          </w:p>
        </w:tc>
      </w:tr>
      <w:tr w:rsidR="00C05FF8" w:rsidRPr="00FB02EC" w14:paraId="09ED7893" w14:textId="77777777" w:rsidTr="00C15E87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517C9240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履修条件・</w:t>
            </w:r>
          </w:p>
          <w:p w14:paraId="3CBFD64C" w14:textId="330384FB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注意事項</w:t>
            </w:r>
          </w:p>
        </w:tc>
        <w:tc>
          <w:tcPr>
            <w:tcW w:w="8178" w:type="dxa"/>
            <w:gridSpan w:val="3"/>
            <w:vAlign w:val="center"/>
          </w:tcPr>
          <w:p w14:paraId="268CFDB3" w14:textId="4B854C71" w:rsidR="00C05FF8" w:rsidRPr="00FB02EC" w:rsidRDefault="008179DF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特にありません。</w:t>
            </w:r>
          </w:p>
        </w:tc>
      </w:tr>
      <w:tr w:rsidR="00C05FF8" w:rsidRPr="00FB02EC" w14:paraId="1FD06FCF" w14:textId="77777777" w:rsidTr="00C15E87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763749E2" w14:textId="4DBFEF8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授業計画</w:t>
            </w:r>
          </w:p>
        </w:tc>
        <w:tc>
          <w:tcPr>
            <w:tcW w:w="8178" w:type="dxa"/>
            <w:gridSpan w:val="3"/>
            <w:vAlign w:val="center"/>
          </w:tcPr>
          <w:p w14:paraId="7B0B81C9" w14:textId="348553B5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会計の基礎</w:t>
            </w:r>
          </w:p>
          <w:p w14:paraId="31CF32C5" w14:textId="369181E2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会社の実態</w:t>
            </w:r>
          </w:p>
          <w:p w14:paraId="3E7B9D3A" w14:textId="6C1251E9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財務会計の機能</w:t>
            </w:r>
          </w:p>
          <w:p w14:paraId="3330851C" w14:textId="6F6A919A" w:rsidR="003D5857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財務会計と管理会計</w:t>
            </w:r>
          </w:p>
          <w:p w14:paraId="176F9C0B" w14:textId="4F95A2B5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利益計算の仕組み</w:t>
            </w:r>
            <w:r w:rsidR="003D5857">
              <w:rPr>
                <w:rFonts w:ascii="Times New Roman" w:hAnsi="Times New Roman" w:cs="Times New Roman" w:hint="eastAsia"/>
                <w:sz w:val="18"/>
                <w:szCs w:val="18"/>
              </w:rPr>
              <w:t>１</w:t>
            </w:r>
          </w:p>
          <w:p w14:paraId="3FB73306" w14:textId="0DE1B829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利益計算の仕組み</w:t>
            </w:r>
            <w:r w:rsidR="003D5857">
              <w:rPr>
                <w:rFonts w:ascii="Times New Roman" w:hAnsi="Times New Roman" w:cs="Times New Roman" w:hint="eastAsia"/>
                <w:sz w:val="18"/>
                <w:szCs w:val="18"/>
              </w:rPr>
              <w:t>２</w:t>
            </w:r>
          </w:p>
          <w:p w14:paraId="34D55E1A" w14:textId="60B8ED7E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利益計算と財務諸表</w:t>
            </w:r>
          </w:p>
          <w:p w14:paraId="419B415A" w14:textId="0F6178E8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損益計算書</w:t>
            </w:r>
          </w:p>
          <w:p w14:paraId="4F994BE8" w14:textId="1FFCA24C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貸借対照表</w:t>
            </w:r>
          </w:p>
          <w:p w14:paraId="181B24E8" w14:textId="19F74F41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キャッシュ・フロー計算書</w:t>
            </w:r>
          </w:p>
          <w:p w14:paraId="60D31252" w14:textId="23B2535F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一般に公正妥当と認められる企業会計の基準１</w:t>
            </w:r>
          </w:p>
          <w:p w14:paraId="35930000" w14:textId="7815D6C3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一般に公正妥当と認められる企業会計の基準２</w:t>
            </w:r>
          </w:p>
          <w:p w14:paraId="43FD860B" w14:textId="2F373463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会計基準の概要</w:t>
            </w:r>
          </w:p>
          <w:p w14:paraId="2302BB05" w14:textId="4AAC4F2B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原価計算の概要</w:t>
            </w:r>
          </w:p>
          <w:p w14:paraId="77D56141" w14:textId="2FFA7DB8" w:rsidR="001C3DCC" w:rsidRPr="001C3DCC" w:rsidRDefault="001C3DCC" w:rsidP="001C3DC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D5857" w:rsidRPr="003D5857">
              <w:rPr>
                <w:rFonts w:ascii="Times New Roman" w:hAnsi="Times New Roman" w:cs="Times New Roman" w:hint="eastAsia"/>
                <w:sz w:val="18"/>
                <w:szCs w:val="18"/>
              </w:rPr>
              <w:t>会計監査の概要</w:t>
            </w:r>
          </w:p>
          <w:p w14:paraId="395F8079" w14:textId="7512BB85" w:rsidR="00C05FF8" w:rsidRPr="00FB02EC" w:rsidRDefault="001C3DCC" w:rsidP="008179DF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C3DCC">
              <w:rPr>
                <w:rFonts w:ascii="Times New Roman" w:hAnsi="Times New Roman" w:cs="Times New Roman"/>
                <w:sz w:val="18"/>
                <w:szCs w:val="18"/>
              </w:rPr>
              <w:t>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Pr="001C3DCC">
              <w:rPr>
                <w:rFonts w:ascii="Times New Roman" w:hAnsi="Times New Roman" w:cs="Times New Roman" w:hint="eastAsia"/>
                <w:sz w:val="18"/>
                <w:szCs w:val="18"/>
              </w:rPr>
              <w:t>定期試験</w:t>
            </w:r>
          </w:p>
        </w:tc>
      </w:tr>
      <w:tr w:rsidR="00C05FF8" w:rsidRPr="00FB02EC" w14:paraId="5C792011" w14:textId="77777777" w:rsidTr="00C15E87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56B433A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学生に対する</w:t>
            </w:r>
          </w:p>
          <w:p w14:paraId="291D2D8B" w14:textId="3EFEEF1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評価</w:t>
            </w:r>
          </w:p>
        </w:tc>
        <w:tc>
          <w:tcPr>
            <w:tcW w:w="8178" w:type="dxa"/>
            <w:gridSpan w:val="3"/>
            <w:vAlign w:val="center"/>
          </w:tcPr>
          <w:p w14:paraId="11EE1B8E" w14:textId="77777777" w:rsidR="002C1D89" w:rsidRPr="008179DF" w:rsidRDefault="002C1D89" w:rsidP="002C1D8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>授業での活動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％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）、</w:t>
            </w: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>平常点（参加態度、出席確認テストなど）</w:t>
            </w:r>
          </w:p>
          <w:p w14:paraId="74723571" w14:textId="1E9A3C39" w:rsidR="00C05FF8" w:rsidRPr="00FB02EC" w:rsidRDefault="002C1D89" w:rsidP="002C1D8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>定期試験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8179DF">
              <w:rPr>
                <w:rFonts w:ascii="Times New Roman" w:hAnsi="Times New Roman" w:cs="Times New Roman"/>
                <w:sz w:val="18"/>
                <w:szCs w:val="18"/>
              </w:rPr>
              <w:t>％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）、</w:t>
            </w:r>
            <w:r w:rsidRPr="008179DF">
              <w:rPr>
                <w:rFonts w:ascii="Times New Roman" w:hAnsi="Times New Roman" w:cs="Times New Roman" w:hint="eastAsia"/>
                <w:sz w:val="18"/>
                <w:szCs w:val="18"/>
              </w:rPr>
              <w:t>テーマに対する記述式の筆記試験</w:t>
            </w:r>
          </w:p>
        </w:tc>
      </w:tr>
      <w:tr w:rsidR="00C05FF8" w:rsidRPr="00FB02EC" w14:paraId="7786B022" w14:textId="77777777" w:rsidTr="00C15E87">
        <w:trPr>
          <w:trHeight w:val="918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12958330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時間外の学習</w:t>
            </w:r>
          </w:p>
          <w:p w14:paraId="23B3F466" w14:textId="0CD67EFD" w:rsidR="00C05FF8" w:rsidRPr="00FB02EC" w:rsidRDefault="00C05FF8" w:rsidP="00C05FF8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</w:p>
        </w:tc>
        <w:tc>
          <w:tcPr>
            <w:tcW w:w="8178" w:type="dxa"/>
            <w:gridSpan w:val="3"/>
            <w:vAlign w:val="center"/>
          </w:tcPr>
          <w:p w14:paraId="3683C0C2" w14:textId="743F0AFC" w:rsidR="00C05FF8" w:rsidRPr="00FB02EC" w:rsidRDefault="003D5857" w:rsidP="00C05FF8">
            <w:pPr>
              <w:autoSpaceDE w:val="0"/>
              <w:autoSpaceDN w:val="0"/>
              <w:ind w:left="900" w:hangingChars="500" w:hanging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配布レジュメ</w:t>
            </w:r>
            <w:r w:rsidR="008179DF">
              <w:rPr>
                <w:rFonts w:ascii="Times New Roman" w:hAnsi="Times New Roman" w:cs="Times New Roman" w:hint="eastAsia"/>
                <w:sz w:val="18"/>
                <w:szCs w:val="18"/>
              </w:rPr>
              <w:t>による予習・復習を４時間。</w:t>
            </w:r>
          </w:p>
        </w:tc>
      </w:tr>
      <w:tr w:rsidR="00C05FF8" w:rsidRPr="00FB02EC" w14:paraId="5D67BB64" w14:textId="77777777" w:rsidTr="00C15E87">
        <w:trPr>
          <w:trHeight w:val="44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05200A82" w14:textId="7182A06F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テキスト</w:t>
            </w:r>
          </w:p>
        </w:tc>
        <w:tc>
          <w:tcPr>
            <w:tcW w:w="8178" w:type="dxa"/>
            <w:gridSpan w:val="3"/>
            <w:vAlign w:val="center"/>
          </w:tcPr>
          <w:p w14:paraId="393FBDF9" w14:textId="2C67D831" w:rsidR="00C05FF8" w:rsidRPr="00FB02EC" w:rsidRDefault="003D5857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テキストは使用しません。</w:t>
            </w:r>
          </w:p>
        </w:tc>
      </w:tr>
      <w:tr w:rsidR="00C05FF8" w:rsidRPr="00FB02EC" w14:paraId="1534C4C8" w14:textId="77777777" w:rsidTr="00C15E87">
        <w:trPr>
          <w:trHeight w:val="86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29324200" w14:textId="77777777" w:rsidR="00C05FF8" w:rsidRPr="008B0797" w:rsidRDefault="00C05FF8" w:rsidP="00C05FF8">
            <w:pPr>
              <w:autoSpaceDE w:val="0"/>
              <w:autoSpaceDN w:val="0"/>
              <w:jc w:val="distribute"/>
              <w:rPr>
                <w:rFonts w:ascii="ＭＳ ゴシック" w:eastAsia="ＭＳ ゴシック" w:cs="ＭＳ Ｐゴシック"/>
                <w:sz w:val="18"/>
                <w:szCs w:val="18"/>
              </w:rPr>
            </w:pPr>
            <w:r w:rsidRPr="008B0797">
              <w:rPr>
                <w:rFonts w:ascii="ＭＳ ゴシック" w:eastAsia="ＭＳ ゴシック" w:cs="ＭＳ Ｐゴシック" w:hint="eastAsia"/>
                <w:sz w:val="18"/>
                <w:szCs w:val="18"/>
              </w:rPr>
              <w:t>参考書・</w:t>
            </w:r>
          </w:p>
          <w:p w14:paraId="0B4E9C6D" w14:textId="081AC049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cs="ＭＳ Ｐゴシック" w:hint="eastAsia"/>
                <w:sz w:val="18"/>
                <w:szCs w:val="18"/>
              </w:rPr>
              <w:t>参考資料等</w:t>
            </w:r>
          </w:p>
        </w:tc>
        <w:tc>
          <w:tcPr>
            <w:tcW w:w="8178" w:type="dxa"/>
            <w:gridSpan w:val="3"/>
            <w:vAlign w:val="center"/>
          </w:tcPr>
          <w:p w14:paraId="61D3CB8D" w14:textId="401987C9" w:rsidR="00C05FF8" w:rsidRPr="00FB02EC" w:rsidRDefault="008179DF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講義のなかで紹介します。</w:t>
            </w:r>
          </w:p>
        </w:tc>
      </w:tr>
    </w:tbl>
    <w:p w14:paraId="79CDE678" w14:textId="77777777" w:rsidR="00F14BBA" w:rsidRPr="008B0797" w:rsidRDefault="00F14BBA" w:rsidP="008B0797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B662C">
      <w:pgSz w:w="11906" w:h="16838" w:code="9"/>
      <w:pgMar w:top="1440" w:right="1077" w:bottom="1440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9390" w14:textId="77777777" w:rsidR="00BD01FE" w:rsidRDefault="00BD01FE" w:rsidP="001C5D1D">
      <w:r>
        <w:separator/>
      </w:r>
    </w:p>
  </w:endnote>
  <w:endnote w:type="continuationSeparator" w:id="0">
    <w:p w14:paraId="05F81514" w14:textId="77777777" w:rsidR="00BD01FE" w:rsidRDefault="00BD01FE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2787" w14:textId="77777777" w:rsidR="00BD01FE" w:rsidRDefault="00BD01FE" w:rsidP="001C5D1D">
      <w:r>
        <w:separator/>
      </w:r>
    </w:p>
  </w:footnote>
  <w:footnote w:type="continuationSeparator" w:id="0">
    <w:p w14:paraId="17BFE0AB" w14:textId="77777777" w:rsidR="00BD01FE" w:rsidRDefault="00BD01FE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A6C47"/>
    <w:rsid w:val="000D32B7"/>
    <w:rsid w:val="000F42A7"/>
    <w:rsid w:val="001202AE"/>
    <w:rsid w:val="00150437"/>
    <w:rsid w:val="001661A6"/>
    <w:rsid w:val="001A347B"/>
    <w:rsid w:val="001C3DCC"/>
    <w:rsid w:val="001C5D1D"/>
    <w:rsid w:val="00217088"/>
    <w:rsid w:val="00237A48"/>
    <w:rsid w:val="0024772B"/>
    <w:rsid w:val="00266716"/>
    <w:rsid w:val="002A5B7D"/>
    <w:rsid w:val="002C1D89"/>
    <w:rsid w:val="002F4120"/>
    <w:rsid w:val="00310862"/>
    <w:rsid w:val="00324798"/>
    <w:rsid w:val="003271E9"/>
    <w:rsid w:val="003305F4"/>
    <w:rsid w:val="00342F10"/>
    <w:rsid w:val="00385F35"/>
    <w:rsid w:val="003B2BAD"/>
    <w:rsid w:val="003C1379"/>
    <w:rsid w:val="003D5857"/>
    <w:rsid w:val="00402CAC"/>
    <w:rsid w:val="00442101"/>
    <w:rsid w:val="00460BCB"/>
    <w:rsid w:val="0047456A"/>
    <w:rsid w:val="004E23FC"/>
    <w:rsid w:val="0050486B"/>
    <w:rsid w:val="00530DF3"/>
    <w:rsid w:val="005362FD"/>
    <w:rsid w:val="00573794"/>
    <w:rsid w:val="005C7A6E"/>
    <w:rsid w:val="005D0708"/>
    <w:rsid w:val="005E5B6E"/>
    <w:rsid w:val="00617462"/>
    <w:rsid w:val="006328B3"/>
    <w:rsid w:val="00657999"/>
    <w:rsid w:val="00682781"/>
    <w:rsid w:val="006914C4"/>
    <w:rsid w:val="006D30D0"/>
    <w:rsid w:val="006D5212"/>
    <w:rsid w:val="006E3A1B"/>
    <w:rsid w:val="006E55BC"/>
    <w:rsid w:val="0073285B"/>
    <w:rsid w:val="00754413"/>
    <w:rsid w:val="0077028B"/>
    <w:rsid w:val="00770F33"/>
    <w:rsid w:val="007E17AA"/>
    <w:rsid w:val="00800053"/>
    <w:rsid w:val="00807035"/>
    <w:rsid w:val="00810D47"/>
    <w:rsid w:val="008179DF"/>
    <w:rsid w:val="008327FE"/>
    <w:rsid w:val="008577D8"/>
    <w:rsid w:val="00890FE3"/>
    <w:rsid w:val="008B0797"/>
    <w:rsid w:val="008B662C"/>
    <w:rsid w:val="00902A0E"/>
    <w:rsid w:val="009758A1"/>
    <w:rsid w:val="00986ECE"/>
    <w:rsid w:val="009D6EF1"/>
    <w:rsid w:val="009F5FEE"/>
    <w:rsid w:val="00A03425"/>
    <w:rsid w:val="00A3291B"/>
    <w:rsid w:val="00A55459"/>
    <w:rsid w:val="00A708A9"/>
    <w:rsid w:val="00A70A3A"/>
    <w:rsid w:val="00A8057D"/>
    <w:rsid w:val="00AD4951"/>
    <w:rsid w:val="00AF3D08"/>
    <w:rsid w:val="00AF6753"/>
    <w:rsid w:val="00B05A6B"/>
    <w:rsid w:val="00B119F0"/>
    <w:rsid w:val="00B15739"/>
    <w:rsid w:val="00B159EF"/>
    <w:rsid w:val="00B4106F"/>
    <w:rsid w:val="00B412B4"/>
    <w:rsid w:val="00B57B43"/>
    <w:rsid w:val="00B744EB"/>
    <w:rsid w:val="00B81C9C"/>
    <w:rsid w:val="00BD01FE"/>
    <w:rsid w:val="00BD6047"/>
    <w:rsid w:val="00BE2B52"/>
    <w:rsid w:val="00BE3409"/>
    <w:rsid w:val="00C0005E"/>
    <w:rsid w:val="00C030B7"/>
    <w:rsid w:val="00C05FF8"/>
    <w:rsid w:val="00C15E87"/>
    <w:rsid w:val="00C22258"/>
    <w:rsid w:val="00C51313"/>
    <w:rsid w:val="00C70AF3"/>
    <w:rsid w:val="00C7656C"/>
    <w:rsid w:val="00C91001"/>
    <w:rsid w:val="00D2175D"/>
    <w:rsid w:val="00D32672"/>
    <w:rsid w:val="00D341FC"/>
    <w:rsid w:val="00D933BA"/>
    <w:rsid w:val="00DA1411"/>
    <w:rsid w:val="00DD74B3"/>
    <w:rsid w:val="00DF5916"/>
    <w:rsid w:val="00E0252F"/>
    <w:rsid w:val="00E067AD"/>
    <w:rsid w:val="00E24232"/>
    <w:rsid w:val="00E61083"/>
    <w:rsid w:val="00E66358"/>
    <w:rsid w:val="00E70B86"/>
    <w:rsid w:val="00E73717"/>
    <w:rsid w:val="00E969DC"/>
    <w:rsid w:val="00EB3903"/>
    <w:rsid w:val="00EE1814"/>
    <w:rsid w:val="00F00F80"/>
    <w:rsid w:val="00F14BBA"/>
    <w:rsid w:val="00F511B1"/>
    <w:rsid w:val="00F5126E"/>
    <w:rsid w:val="00F806B9"/>
    <w:rsid w:val="00FA6A7A"/>
    <w:rsid w:val="00FB02EC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ITO Hajime</cp:lastModifiedBy>
  <cp:revision>15</cp:revision>
  <cp:lastPrinted>2021-09-29T03:57:00Z</cp:lastPrinted>
  <dcterms:created xsi:type="dcterms:W3CDTF">2021-03-16T01:24:00Z</dcterms:created>
  <dcterms:modified xsi:type="dcterms:W3CDTF">2022-07-09T06:44:00Z</dcterms:modified>
</cp:coreProperties>
</file>