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Miyazaki International University</w:t>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Course Syllabus</w:t>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Spring 2023</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tbl>
      <w:tblPr>
        <w:tblStyle w:val="Table1"/>
        <w:tblW w:w="90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4"/>
        <w:gridCol w:w="6340"/>
        <w:tblGridChange w:id="0">
          <w:tblGrid>
            <w:gridCol w:w="2674"/>
            <w:gridCol w:w="6340"/>
          </w:tblGrid>
        </w:tblGridChange>
      </w:tblGrid>
      <w:tr>
        <w:trPr>
          <w:cantSplit w:val="0"/>
          <w:tblHeader w:val="0"/>
        </w:trPr>
        <w:tc>
          <w:tcPr/>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Course Title (Credits)</w:t>
            </w:r>
          </w:p>
        </w:tc>
        <w:tc>
          <w:tcPr/>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POL309-1 Politics of Japan</w:t>
            </w:r>
          </w:p>
        </w:tc>
      </w:tr>
      <w:tr>
        <w:trPr>
          <w:cantSplit w:val="0"/>
          <w:tblHeader w:val="0"/>
        </w:trPr>
        <w:tc>
          <w:tcPr/>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Course Designation for TC</w:t>
            </w:r>
          </w:p>
        </w:tc>
        <w:tc>
          <w:tcPr/>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rPr>
          <w:cantSplit w:val="0"/>
          <w:tblHeader w:val="0"/>
        </w:trPr>
        <w:tc>
          <w:tcPr>
            <w:gridSpan w:val="2"/>
            <w:vAlign w:val="center"/>
          </w:tcPr>
          <w:p w:rsidR="00000000" w:rsidDel="00000000" w:rsidP="00000000" w:rsidRDefault="00000000" w:rsidRPr="00000000" w14:paraId="0000000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Content Teacher</w:t>
            </w:r>
          </w:p>
        </w:tc>
      </w:tr>
      <w:tr>
        <w:trPr>
          <w:cantSplit w:val="0"/>
          <w:tblHeader w:val="0"/>
        </w:trPr>
        <w:tc>
          <w:tcPr/>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Instructor</w:t>
            </w:r>
          </w:p>
        </w:tc>
        <w:tc>
          <w:tcPr/>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Rui Saraiva, Ph.D.</w:t>
            </w:r>
          </w:p>
        </w:tc>
      </w:tr>
      <w:tr>
        <w:trPr>
          <w:cantSplit w:val="0"/>
          <w:tblHeader w:val="0"/>
        </w:trPr>
        <w:tc>
          <w:tcPr/>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rsaraiva@sky.miyazaki-mic.ac.jp</w:t>
            </w:r>
          </w:p>
        </w:tc>
      </w:tr>
      <w:tr>
        <w:trPr>
          <w:cantSplit w:val="0"/>
          <w:tblHeader w:val="0"/>
        </w:trPr>
        <w:tc>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Office/Ext</w:t>
            </w:r>
          </w:p>
        </w:tc>
        <w:tc>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MIC2-202 / Ext 3771</w:t>
            </w:r>
          </w:p>
        </w:tc>
      </w:tr>
      <w:tr>
        <w:trPr>
          <w:cantSplit w:val="0"/>
          <w:tblHeader w:val="0"/>
        </w:trPr>
        <w:tc>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Office hours</w:t>
            </w:r>
          </w:p>
        </w:tc>
        <w:tc>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0"/>
                <w:szCs w:val="20"/>
                <w:rtl w:val="0"/>
              </w:rPr>
              <w:t xml:space="preserve">Mondays 15:00-16:00 &amp; Wednesdays 14:30-16:30</w:t>
            </w: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2"/>
        <w:tblW w:w="90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9"/>
        <w:gridCol w:w="3766"/>
        <w:gridCol w:w="3909"/>
        <w:tblGridChange w:id="0">
          <w:tblGrid>
            <w:gridCol w:w="1339"/>
            <w:gridCol w:w="3766"/>
            <w:gridCol w:w="3909"/>
          </w:tblGrid>
        </w:tblGridChange>
      </w:tblGrid>
      <w:tr>
        <w:trPr>
          <w:cantSplit w:val="0"/>
          <w:tblHeader w:val="0"/>
        </w:trPr>
        <w:tc>
          <w:tcPr>
            <w:gridSpan w:val="3"/>
            <w:shd w:fill="auto" w:val="clear"/>
          </w:tcPr>
          <w:p w:rsidR="00000000" w:rsidDel="00000000" w:rsidP="00000000" w:rsidRDefault="00000000" w:rsidRPr="00000000" w14:paraId="0000001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Description:</w:t>
            </w:r>
          </w:p>
        </w:tc>
      </w:tr>
      <w:tr>
        <w:trPr>
          <w:cantSplit w:val="0"/>
          <w:tblHeader w:val="0"/>
        </w:trPr>
        <w:tc>
          <w:tcPr>
            <w:gridSpan w:val="3"/>
            <w:shd w:fill="auto" w:val="clear"/>
          </w:tcPr>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course provides an in-depth analysis of the current state of politics in Japan, covering its political institutions, actors, and challenges. It explores various topics, including political leadership, electoral and party systems, civil society movements, and economic, foreign, and security policies, to comprehensively understand contemporary Japanese politics.</w:t>
            </w:r>
          </w:p>
        </w:tc>
      </w:tr>
      <w:tr>
        <w:trPr>
          <w:cantSplit w:val="0"/>
          <w:tblHeader w:val="0"/>
        </w:trPr>
        <w:tc>
          <w:tcPr>
            <w:gridSpan w:val="3"/>
            <w:shd w:fill="auto" w:val="clear"/>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Objectives:</w:t>
            </w:r>
          </w:p>
        </w:tc>
      </w:tr>
      <w:tr>
        <w:trPr>
          <w:cantSplit w:val="0"/>
          <w:tblHeader w:val="0"/>
        </w:trPr>
        <w:tc>
          <w:tcPr>
            <w:gridSpan w:val="3"/>
            <w:shd w:fill="auto" w:val="clear"/>
          </w:tcPr>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completing this course, students will have a deeper understanding of Japan’s political, social, and cultural contexts and how to address the challenges facing its political system in the 21st century. </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also develop critical thinking skills in the field of Japanese politics, as well as clear communication and analytical skills for expressing and discussing their evidence-based analyses.</w:t>
            </w:r>
          </w:p>
        </w:tc>
      </w:tr>
      <w:tr>
        <w:trPr>
          <w:cantSplit w:val="0"/>
          <w:tblHeader w:val="0"/>
        </w:trPr>
        <w:tc>
          <w:tcPr>
            <w:gridSpan w:val="3"/>
            <w:shd w:fill="auto" w:val="clear"/>
          </w:tcPr>
          <w:p w:rsidR="00000000" w:rsidDel="00000000" w:rsidP="00000000" w:rsidRDefault="00000000" w:rsidRPr="00000000" w14:paraId="00000021">
            <w:pPr>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Course Schedule: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Day</w:t>
            </w:r>
          </w:p>
        </w:tc>
        <w:tc>
          <w:tcPr/>
          <w:p w:rsidR="00000000" w:rsidDel="00000000" w:rsidP="00000000" w:rsidRDefault="00000000" w:rsidRPr="00000000" w14:paraId="0000002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Topic</w:t>
            </w:r>
          </w:p>
        </w:tc>
        <w:tc>
          <w:tcPr>
            <w:shd w:fill="auto" w:val="clear"/>
          </w:tcPr>
          <w:p w:rsidR="00000000" w:rsidDel="00000000" w:rsidP="00000000" w:rsidRDefault="00000000" w:rsidRPr="00000000" w14:paraId="0000002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Content/Activities</w:t>
            </w:r>
          </w:p>
        </w:tc>
      </w:tr>
      <w:tr>
        <w:trPr>
          <w:cantSplit w:val="0"/>
          <w:tblHeader w:val="0"/>
        </w:trPr>
        <w:tc>
          <w:tcPr>
            <w:shd w:fill="auto" w:val="clear"/>
          </w:tcPr>
          <w:p w:rsidR="00000000" w:rsidDel="00000000" w:rsidP="00000000" w:rsidRDefault="00000000" w:rsidRPr="00000000" w14:paraId="0000002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vMerge w:val="restart"/>
          </w:tcPr>
          <w:p w:rsidR="00000000" w:rsidDel="00000000" w:rsidP="00000000" w:rsidRDefault="00000000" w:rsidRPr="00000000" w14:paraId="0000002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w:t>
            </w:r>
          </w:p>
        </w:tc>
        <w:tc>
          <w:tcPr>
            <w:shd w:fill="auto" w:val="clear"/>
          </w:tcPr>
          <w:p w:rsidR="00000000" w:rsidDel="00000000" w:rsidP="00000000" w:rsidRDefault="00000000" w:rsidRPr="00000000" w14:paraId="0000002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to contemporary Japanese politics</w:t>
            </w:r>
          </w:p>
        </w:tc>
      </w:tr>
      <w:tr>
        <w:trPr>
          <w:cantSplit w:val="0"/>
          <w:tblHeader w:val="0"/>
        </w:trPr>
        <w:tc>
          <w:tcPr>
            <w:shd w:fill="auto" w:val="clear"/>
          </w:tcPr>
          <w:p w:rsidR="00000000" w:rsidDel="00000000" w:rsidP="00000000" w:rsidRDefault="00000000" w:rsidRPr="00000000" w14:paraId="0000002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2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The current political challenges in Japan: Entering a period of political instability?</w:t>
            </w:r>
          </w:p>
        </w:tc>
      </w:tr>
      <w:tr>
        <w:trPr>
          <w:cantSplit w:val="0"/>
          <w:tblHeader w:val="0"/>
        </w:trPr>
        <w:tc>
          <w:tcPr>
            <w:shd w:fill="auto" w:val="clear"/>
          </w:tcPr>
          <w:p w:rsidR="00000000" w:rsidDel="00000000" w:rsidP="00000000" w:rsidRDefault="00000000" w:rsidRPr="00000000" w14:paraId="0000002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vMerge w:val="restart"/>
          </w:tcPr>
          <w:p w:rsidR="00000000" w:rsidDel="00000000" w:rsidP="00000000" w:rsidRDefault="00000000" w:rsidRPr="00000000" w14:paraId="0000002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Political parties</w:t>
            </w:r>
          </w:p>
        </w:tc>
        <w:tc>
          <w:tcPr>
            <w:shd w:fill="auto" w:val="clear"/>
          </w:tcPr>
          <w:p w:rsidR="00000000" w:rsidDel="00000000" w:rsidP="00000000" w:rsidRDefault="00000000" w:rsidRPr="00000000" w14:paraId="0000003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Political parties and the Japanese Diet</w:t>
            </w:r>
          </w:p>
        </w:tc>
      </w:tr>
      <w:tr>
        <w:trPr>
          <w:cantSplit w:val="0"/>
          <w:tblHeader w:val="0"/>
        </w:trPr>
        <w:tc>
          <w:tcPr>
            <w:shd w:fill="auto" w:val="clear"/>
          </w:tcPr>
          <w:p w:rsidR="00000000" w:rsidDel="00000000" w:rsidP="00000000" w:rsidRDefault="00000000" w:rsidRPr="00000000" w14:paraId="0000003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3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The 1955 Japanese political system. Two-party or multi-party system?</w:t>
            </w:r>
          </w:p>
        </w:tc>
      </w:tr>
      <w:tr>
        <w:trPr>
          <w:cantSplit w:val="0"/>
          <w:tblHeader w:val="0"/>
        </w:trPr>
        <w:tc>
          <w:tcPr>
            <w:shd w:fill="auto" w:val="clear"/>
          </w:tcPr>
          <w:p w:rsidR="00000000" w:rsidDel="00000000" w:rsidP="00000000" w:rsidRDefault="00000000" w:rsidRPr="00000000" w14:paraId="0000003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tc>
        <w:tc>
          <w:tcPr>
            <w:vMerge w:val="restart"/>
          </w:tcPr>
          <w:p w:rsidR="00000000" w:rsidDel="00000000" w:rsidP="00000000" w:rsidRDefault="00000000" w:rsidRPr="00000000" w14:paraId="0000003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Political opposition</w:t>
            </w:r>
          </w:p>
        </w:tc>
        <w:tc>
          <w:tcPr>
            <w:shd w:fill="auto" w:val="clear"/>
          </w:tcPr>
          <w:p w:rsidR="00000000" w:rsidDel="00000000" w:rsidP="00000000" w:rsidRDefault="00000000" w:rsidRPr="00000000" w14:paraId="0000003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Political opposition and alternation in power</w:t>
            </w:r>
          </w:p>
        </w:tc>
      </w:tr>
      <w:tr>
        <w:trPr>
          <w:cantSplit w:val="0"/>
          <w:tblHeader w:val="0"/>
        </w:trPr>
        <w:tc>
          <w:tcPr>
            <w:shd w:fill="auto" w:val="clear"/>
          </w:tcPr>
          <w:p w:rsidR="00000000" w:rsidDel="00000000" w:rsidP="00000000" w:rsidRDefault="00000000" w:rsidRPr="00000000" w14:paraId="0000003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tc>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3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Taking a look at the Japanese democracy in the 21st century</w:t>
            </w:r>
          </w:p>
        </w:tc>
      </w:tr>
      <w:tr>
        <w:trPr>
          <w:cantSplit w:val="0"/>
          <w:tblHeader w:val="0"/>
        </w:trPr>
        <w:tc>
          <w:tcPr>
            <w:shd w:fill="auto" w:val="clear"/>
          </w:tcPr>
          <w:p w:rsidR="00000000" w:rsidDel="00000000" w:rsidP="00000000" w:rsidRDefault="00000000" w:rsidRPr="00000000" w14:paraId="0000003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tc>
        <w:tc>
          <w:tcPr>
            <w:vMerge w:val="restart"/>
          </w:tcPr>
          <w:p w:rsidR="00000000" w:rsidDel="00000000" w:rsidP="00000000" w:rsidRDefault="00000000" w:rsidRPr="00000000" w14:paraId="0000003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Political leadership</w:t>
            </w:r>
          </w:p>
        </w:tc>
        <w:tc>
          <w:tcPr>
            <w:shd w:fill="auto" w:val="clear"/>
          </w:tcPr>
          <w:p w:rsidR="00000000" w:rsidDel="00000000" w:rsidP="00000000" w:rsidRDefault="00000000" w:rsidRPr="00000000" w14:paraId="0000003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Political leadership, the Prime-Minister, and the Cabinet</w:t>
            </w:r>
          </w:p>
        </w:tc>
      </w:tr>
      <w:tr>
        <w:trPr>
          <w:cantSplit w:val="0"/>
          <w:tblHeader w:val="0"/>
        </w:trPr>
        <w:tc>
          <w:tcPr>
            <w:shd w:fill="auto" w:val="clear"/>
          </w:tcPr>
          <w:p w:rsidR="00000000" w:rsidDel="00000000" w:rsidP="00000000" w:rsidRDefault="00000000" w:rsidRPr="00000000" w14:paraId="0000004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tc>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4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Taking a closer look at the incumbent government and its political leadership</w:t>
            </w:r>
          </w:p>
        </w:tc>
      </w:tr>
      <w:tr>
        <w:trPr>
          <w:cantSplit w:val="0"/>
          <w:trHeight w:val="404" w:hRule="atLeast"/>
          <w:tblHeader w:val="0"/>
        </w:trPr>
        <w:tc>
          <w:tcPr>
            <w:shd w:fill="auto" w:val="clear"/>
            <w:vAlign w:val="center"/>
          </w:tcPr>
          <w:p w:rsidR="00000000" w:rsidDel="00000000" w:rsidP="00000000" w:rsidRDefault="00000000" w:rsidRPr="00000000" w14:paraId="0000004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r>
          </w:p>
        </w:tc>
        <w:tc>
          <w:tcPr>
            <w:vMerge w:val="restart"/>
          </w:tcPr>
          <w:p w:rsidR="00000000" w:rsidDel="00000000" w:rsidP="00000000" w:rsidRDefault="00000000" w:rsidRPr="00000000" w14:paraId="0000004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Electoral system and local politics</w:t>
            </w:r>
          </w:p>
        </w:tc>
        <w:tc>
          <w:tcPr>
            <w:shd w:fill="auto" w:val="clear"/>
          </w:tcPr>
          <w:p w:rsidR="00000000" w:rsidDel="00000000" w:rsidP="00000000" w:rsidRDefault="00000000" w:rsidRPr="00000000" w14:paraId="0000004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Japan’s electoral system and local politics</w:t>
            </w:r>
          </w:p>
        </w:tc>
      </w:tr>
      <w:tr>
        <w:trPr>
          <w:cantSplit w:val="0"/>
          <w:trHeight w:val="404" w:hRule="atLeast"/>
          <w:tblHeader w:val="0"/>
        </w:trPr>
        <w:tc>
          <w:tcPr>
            <w:shd w:fill="auto" w:val="clear"/>
            <w:vAlign w:val="center"/>
          </w:tcPr>
          <w:p w:rsidR="00000000" w:rsidDel="00000000" w:rsidP="00000000" w:rsidRDefault="00000000" w:rsidRPr="00000000" w14:paraId="0000004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4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The centralization versus decentralization debate</w:t>
            </w:r>
          </w:p>
        </w:tc>
      </w:tr>
      <w:tr>
        <w:trPr>
          <w:cantSplit w:val="0"/>
          <w:trHeight w:val="404" w:hRule="atLeast"/>
          <w:tblHeader w:val="0"/>
        </w:trPr>
        <w:tc>
          <w:tcPr>
            <w:shd w:fill="auto" w:val="clear"/>
            <w:vAlign w:val="center"/>
          </w:tcPr>
          <w:p w:rsidR="00000000" w:rsidDel="00000000" w:rsidP="00000000" w:rsidRDefault="00000000" w:rsidRPr="00000000" w14:paraId="0000004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r>
          </w:p>
        </w:tc>
        <w:tc>
          <w:tcPr>
            <w:vMerge w:val="restart"/>
          </w:tcPr>
          <w:p w:rsidR="00000000" w:rsidDel="00000000" w:rsidP="00000000" w:rsidRDefault="00000000" w:rsidRPr="00000000" w14:paraId="0000004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Policymaking and bureaucracy</w:t>
            </w:r>
          </w:p>
        </w:tc>
        <w:tc>
          <w:tcPr>
            <w:shd w:fill="auto" w:val="clear"/>
          </w:tcPr>
          <w:p w:rsidR="00000000" w:rsidDel="00000000" w:rsidP="00000000" w:rsidRDefault="00000000" w:rsidRPr="00000000" w14:paraId="0000004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Japan’s policymaking process and the role of bureaucracy</w:t>
            </w:r>
          </w:p>
        </w:tc>
      </w:tr>
      <w:tr>
        <w:trPr>
          <w:cantSplit w:val="0"/>
          <w:trHeight w:val="404" w:hRule="atLeast"/>
          <w:tblHeader w:val="0"/>
        </w:trPr>
        <w:tc>
          <w:tcPr>
            <w:shd w:fill="auto" w:val="clear"/>
            <w:vAlign w:val="center"/>
          </w:tcPr>
          <w:p w:rsidR="00000000" w:rsidDel="00000000" w:rsidP="00000000" w:rsidRDefault="00000000" w:rsidRPr="00000000" w14:paraId="0000004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w:t>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5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Koizumi’s structural reform and Abenomics: What’s next?</w:t>
            </w:r>
          </w:p>
        </w:tc>
      </w:tr>
      <w:tr>
        <w:trPr>
          <w:cantSplit w:val="0"/>
          <w:trHeight w:val="404" w:hRule="atLeast"/>
          <w:tblHeader w:val="0"/>
        </w:trPr>
        <w:tc>
          <w:tcPr>
            <w:shd w:fill="auto" w:val="clear"/>
            <w:vAlign w:val="center"/>
          </w:tcPr>
          <w:p w:rsidR="00000000" w:rsidDel="00000000" w:rsidP="00000000" w:rsidRDefault="00000000" w:rsidRPr="00000000" w14:paraId="0000005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w:t>
            </w:r>
          </w:p>
        </w:tc>
        <w:tc>
          <w:tcPr>
            <w:vMerge w:val="restart"/>
          </w:tcPr>
          <w:p w:rsidR="00000000" w:rsidDel="00000000" w:rsidP="00000000" w:rsidRDefault="00000000" w:rsidRPr="00000000" w14:paraId="0000005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Political economy</w:t>
            </w:r>
          </w:p>
        </w:tc>
        <w:tc>
          <w:tcPr>
            <w:shd w:fill="auto" w:val="clear"/>
          </w:tcPr>
          <w:p w:rsidR="00000000" w:rsidDel="00000000" w:rsidP="00000000" w:rsidRDefault="00000000" w:rsidRPr="00000000" w14:paraId="0000005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Japan’s political economy</w:t>
            </w:r>
          </w:p>
        </w:tc>
      </w:tr>
      <w:tr>
        <w:trPr>
          <w:cantSplit w:val="0"/>
          <w:trHeight w:val="404" w:hRule="atLeast"/>
          <w:tblHeader w:val="0"/>
        </w:trPr>
        <w:tc>
          <w:tcPr>
            <w:shd w:fill="auto" w:val="clear"/>
            <w:vAlign w:val="center"/>
          </w:tcPr>
          <w:p w:rsidR="00000000" w:rsidDel="00000000" w:rsidP="00000000" w:rsidRDefault="00000000" w:rsidRPr="00000000" w14:paraId="0000005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w:t>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5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From miracle economic growth to a stagnant economy: What is Japan’s 21st-century sustainable development model?</w:t>
            </w:r>
          </w:p>
        </w:tc>
      </w:tr>
      <w:tr>
        <w:trPr>
          <w:cantSplit w:val="0"/>
          <w:trHeight w:val="404" w:hRule="atLeast"/>
          <w:tblHeader w:val="0"/>
        </w:trPr>
        <w:tc>
          <w:tcPr>
            <w:shd w:fill="auto" w:val="clear"/>
            <w:vAlign w:val="center"/>
          </w:tcPr>
          <w:p w:rsidR="00000000" w:rsidDel="00000000" w:rsidP="00000000" w:rsidRDefault="00000000" w:rsidRPr="00000000" w14:paraId="0000005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w:t>
            </w:r>
          </w:p>
        </w:tc>
        <w:tc>
          <w:tcPr>
            <w:vMerge w:val="restart"/>
          </w:tcPr>
          <w:p w:rsidR="00000000" w:rsidDel="00000000" w:rsidP="00000000" w:rsidRDefault="00000000" w:rsidRPr="00000000" w14:paraId="0000005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Civil society and public opinion</w:t>
            </w:r>
          </w:p>
        </w:tc>
        <w:tc>
          <w:tcPr>
            <w:shd w:fill="auto" w:val="clear"/>
          </w:tcPr>
          <w:p w:rsidR="00000000" w:rsidDel="00000000" w:rsidP="00000000" w:rsidRDefault="00000000" w:rsidRPr="00000000" w14:paraId="0000005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Civil Society and public opinion in Japan</w:t>
            </w:r>
          </w:p>
        </w:tc>
      </w:tr>
      <w:tr>
        <w:trPr>
          <w:cantSplit w:val="0"/>
          <w:trHeight w:val="404" w:hRule="atLeast"/>
          <w:tblHeader w:val="0"/>
        </w:trPr>
        <w:tc>
          <w:tcPr>
            <w:shd w:fill="auto" w:val="clear"/>
            <w:vAlign w:val="center"/>
          </w:tcPr>
          <w:p w:rsidR="00000000" w:rsidDel="00000000" w:rsidP="00000000" w:rsidRDefault="00000000" w:rsidRPr="00000000" w14:paraId="0000005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w:t>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5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Political activism, social movements, and youth engagement</w:t>
            </w:r>
          </w:p>
        </w:tc>
      </w:tr>
      <w:tr>
        <w:trPr>
          <w:cantSplit w:val="0"/>
          <w:trHeight w:val="404" w:hRule="atLeast"/>
          <w:tblHeader w:val="0"/>
        </w:trPr>
        <w:tc>
          <w:tcPr>
            <w:shd w:fill="auto" w:val="clear"/>
            <w:vAlign w:val="center"/>
          </w:tcPr>
          <w:p w:rsidR="00000000" w:rsidDel="00000000" w:rsidP="00000000" w:rsidRDefault="00000000" w:rsidRPr="00000000" w14:paraId="0000005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w:t>
            </w:r>
          </w:p>
        </w:tc>
        <w:tc>
          <w:tcPr>
            <w:vMerge w:val="restart"/>
          </w:tcPr>
          <w:p w:rsidR="00000000" w:rsidDel="00000000" w:rsidP="00000000" w:rsidRDefault="00000000" w:rsidRPr="00000000" w14:paraId="0000006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Human rights and human security</w:t>
            </w:r>
          </w:p>
        </w:tc>
        <w:tc>
          <w:tcPr>
            <w:shd w:fill="auto" w:val="clear"/>
          </w:tcPr>
          <w:p w:rsidR="00000000" w:rsidDel="00000000" w:rsidP="00000000" w:rsidRDefault="00000000" w:rsidRPr="00000000" w14:paraId="0000006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Social, ethnic, and gender inequalities in Japan</w:t>
            </w:r>
          </w:p>
        </w:tc>
      </w:tr>
      <w:tr>
        <w:trPr>
          <w:cantSplit w:val="0"/>
          <w:trHeight w:val="404" w:hRule="atLeast"/>
          <w:tblHeader w:val="0"/>
        </w:trPr>
        <w:tc>
          <w:tcPr>
            <w:shd w:fill="auto" w:val="clear"/>
            <w:vAlign w:val="center"/>
          </w:tcPr>
          <w:p w:rsidR="00000000" w:rsidDel="00000000" w:rsidP="00000000" w:rsidRDefault="00000000" w:rsidRPr="00000000" w14:paraId="0000006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18</w:t>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6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How are human rights issues being handled in Japan?</w:t>
            </w:r>
          </w:p>
        </w:tc>
      </w:tr>
      <w:tr>
        <w:trPr>
          <w:cantSplit w:val="0"/>
          <w:trHeight w:val="404" w:hRule="atLeast"/>
          <w:tblHeader w:val="0"/>
        </w:trPr>
        <w:tc>
          <w:tcPr>
            <w:shd w:fill="auto" w:val="clear"/>
            <w:vAlign w:val="center"/>
          </w:tcPr>
          <w:p w:rsidR="00000000" w:rsidDel="00000000" w:rsidP="00000000" w:rsidRDefault="00000000" w:rsidRPr="00000000" w14:paraId="0000006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19</w:t>
            </w:r>
          </w:p>
        </w:tc>
        <w:tc>
          <w:tcPr>
            <w:vMerge w:val="restart"/>
          </w:tcPr>
          <w:p w:rsidR="00000000" w:rsidDel="00000000" w:rsidP="00000000" w:rsidRDefault="00000000" w:rsidRPr="00000000" w14:paraId="0000006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Immigration policy</w:t>
            </w:r>
          </w:p>
        </w:tc>
        <w:tc>
          <w:tcPr>
            <w:shd w:fill="auto" w:val="clear"/>
          </w:tcPr>
          <w:p w:rsidR="00000000" w:rsidDel="00000000" w:rsidP="00000000" w:rsidRDefault="00000000" w:rsidRPr="00000000" w14:paraId="0000006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Japan’s immigration policy</w:t>
            </w:r>
          </w:p>
        </w:tc>
      </w:tr>
      <w:tr>
        <w:trPr>
          <w:cantSplit w:val="0"/>
          <w:trHeight w:val="404" w:hRule="atLeast"/>
          <w:tblHeader w:val="0"/>
        </w:trPr>
        <w:tc>
          <w:tcPr>
            <w:shd w:fill="auto" w:val="clear"/>
            <w:vAlign w:val="center"/>
          </w:tcPr>
          <w:p w:rsidR="00000000" w:rsidDel="00000000" w:rsidP="00000000" w:rsidRDefault="00000000" w:rsidRPr="00000000" w14:paraId="0000006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w:t>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6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changing Japan amid globalization and aging society?</w:t>
            </w:r>
          </w:p>
        </w:tc>
      </w:tr>
      <w:tr>
        <w:trPr>
          <w:cantSplit w:val="0"/>
          <w:trHeight w:val="404" w:hRule="atLeast"/>
          <w:tblHeader w:val="0"/>
        </w:trPr>
        <w:tc>
          <w:tcPr>
            <w:shd w:fill="auto" w:val="clear"/>
            <w:vAlign w:val="center"/>
          </w:tcPr>
          <w:p w:rsidR="00000000" w:rsidDel="00000000" w:rsidP="00000000" w:rsidRDefault="00000000" w:rsidRPr="00000000" w14:paraId="0000006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w:t>
            </w:r>
          </w:p>
        </w:tc>
        <w:tc>
          <w:tcPr>
            <w:vMerge w:val="restart"/>
          </w:tcPr>
          <w:p w:rsidR="00000000" w:rsidDel="00000000" w:rsidP="00000000" w:rsidRDefault="00000000" w:rsidRPr="00000000" w14:paraId="0000006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Security policy</w:t>
            </w:r>
          </w:p>
        </w:tc>
        <w:tc>
          <w:tcPr>
            <w:shd w:fill="auto" w:val="clear"/>
          </w:tcPr>
          <w:p w:rsidR="00000000" w:rsidDel="00000000" w:rsidP="00000000" w:rsidRDefault="00000000" w:rsidRPr="00000000" w14:paraId="0000006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Japan’s security policy</w:t>
            </w:r>
          </w:p>
        </w:tc>
      </w:tr>
      <w:tr>
        <w:trPr>
          <w:cantSplit w:val="0"/>
          <w:trHeight w:val="404" w:hRule="atLeast"/>
          <w:tblHeader w:val="0"/>
        </w:trPr>
        <w:tc>
          <w:tcPr>
            <w:shd w:fill="auto" w:val="clear"/>
            <w:vAlign w:val="center"/>
          </w:tcPr>
          <w:p w:rsidR="00000000" w:rsidDel="00000000" w:rsidP="00000000" w:rsidRDefault="00000000" w:rsidRPr="00000000" w14:paraId="0000007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w:t>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7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Normalization or remilitarization?</w:t>
            </w:r>
          </w:p>
        </w:tc>
      </w:tr>
      <w:tr>
        <w:trPr>
          <w:cantSplit w:val="0"/>
          <w:trHeight w:val="404" w:hRule="atLeast"/>
          <w:tblHeader w:val="0"/>
        </w:trPr>
        <w:tc>
          <w:tcPr>
            <w:shd w:fill="auto" w:val="clear"/>
            <w:vAlign w:val="center"/>
          </w:tcPr>
          <w:p w:rsidR="00000000" w:rsidDel="00000000" w:rsidP="00000000" w:rsidRDefault="00000000" w:rsidRPr="00000000" w14:paraId="0000007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w:t>
            </w:r>
          </w:p>
        </w:tc>
        <w:tc>
          <w:tcPr>
            <w:vMerge w:val="restart"/>
          </w:tcPr>
          <w:p w:rsidR="00000000" w:rsidDel="00000000" w:rsidP="00000000" w:rsidRDefault="00000000" w:rsidRPr="00000000" w14:paraId="0000007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Foreign policy</w:t>
            </w:r>
          </w:p>
        </w:tc>
        <w:tc>
          <w:tcPr>
            <w:shd w:fill="auto" w:val="clear"/>
          </w:tcPr>
          <w:p w:rsidR="00000000" w:rsidDel="00000000" w:rsidP="00000000" w:rsidRDefault="00000000" w:rsidRPr="00000000" w14:paraId="0000007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Japan’s foreign policy and Official Development Assistance (ODA)</w:t>
            </w:r>
          </w:p>
        </w:tc>
      </w:tr>
      <w:tr>
        <w:trPr>
          <w:cantSplit w:val="0"/>
          <w:trHeight w:val="404" w:hRule="atLeast"/>
          <w:tblHeader w:val="0"/>
        </w:trPr>
        <w:tc>
          <w:tcPr>
            <w:shd w:fill="auto" w:val="clear"/>
            <w:vAlign w:val="center"/>
          </w:tcPr>
          <w:p w:rsidR="00000000" w:rsidDel="00000000" w:rsidP="00000000" w:rsidRDefault="00000000" w:rsidRPr="00000000" w14:paraId="0000007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w:t>
            </w:r>
          </w:p>
        </w:tc>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7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What is Japan’s national interest and what is human security?</w:t>
            </w:r>
          </w:p>
        </w:tc>
      </w:tr>
      <w:tr>
        <w:trPr>
          <w:cantSplit w:val="0"/>
          <w:trHeight w:val="404" w:hRule="atLeast"/>
          <w:tblHeader w:val="0"/>
        </w:trPr>
        <w:tc>
          <w:tcPr>
            <w:shd w:fill="auto" w:val="clear"/>
            <w:vAlign w:val="center"/>
          </w:tcPr>
          <w:p w:rsidR="00000000" w:rsidDel="00000000" w:rsidP="00000000" w:rsidRDefault="00000000" w:rsidRPr="00000000" w14:paraId="0000007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w:t>
            </w:r>
          </w:p>
        </w:tc>
        <w:tc>
          <w:tcPr>
            <w:vMerge w:val="restart"/>
          </w:tcPr>
          <w:p w:rsidR="00000000" w:rsidDel="00000000" w:rsidP="00000000" w:rsidRDefault="00000000" w:rsidRPr="00000000" w14:paraId="0000007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 and the “West”</w:t>
            </w:r>
          </w:p>
        </w:tc>
        <w:tc>
          <w:tcPr>
            <w:shd w:fill="auto" w:val="clear"/>
          </w:tcPr>
          <w:p w:rsidR="00000000" w:rsidDel="00000000" w:rsidP="00000000" w:rsidRDefault="00000000" w:rsidRPr="00000000" w14:paraId="0000007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Japan-US and Japan-EU relations</w:t>
            </w:r>
          </w:p>
        </w:tc>
      </w:tr>
      <w:tr>
        <w:trPr>
          <w:cantSplit w:val="0"/>
          <w:trHeight w:val="404" w:hRule="atLeast"/>
          <w:tblHeader w:val="0"/>
        </w:trPr>
        <w:tc>
          <w:tcPr>
            <w:shd w:fill="auto" w:val="clear"/>
            <w:vAlign w:val="center"/>
          </w:tcPr>
          <w:p w:rsidR="00000000" w:rsidDel="00000000" w:rsidP="00000000" w:rsidRDefault="00000000" w:rsidRPr="00000000" w14:paraId="0000007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w:t>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80">
            <w:pPr>
              <w:widowControl w:val="1"/>
              <w:jc w:val="center"/>
              <w:rPr>
                <w:rFonts w:ascii="Arial" w:cs="Arial" w:eastAsia="Arial" w:hAnsi="Arial"/>
              </w:rPr>
            </w:pPr>
            <w:r w:rsidDel="00000000" w:rsidR="00000000" w:rsidRPr="00000000">
              <w:rPr>
                <w:rFonts w:ascii="Arial" w:cs="Arial" w:eastAsia="Arial" w:hAnsi="Arial"/>
                <w:rtl w:val="0"/>
              </w:rPr>
              <w:t xml:space="preserve">Is Japan drifting away from its Western allies?</w:t>
            </w:r>
          </w:p>
        </w:tc>
      </w:tr>
      <w:tr>
        <w:trPr>
          <w:cantSplit w:val="0"/>
          <w:trHeight w:val="404" w:hRule="atLeast"/>
          <w:tblHeader w:val="0"/>
        </w:trPr>
        <w:tc>
          <w:tcPr>
            <w:shd w:fill="auto" w:val="clear"/>
            <w:vAlign w:val="center"/>
          </w:tcPr>
          <w:p w:rsidR="00000000" w:rsidDel="00000000" w:rsidP="00000000" w:rsidRDefault="00000000" w:rsidRPr="00000000" w14:paraId="0000008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27</w:t>
            </w:r>
          </w:p>
        </w:tc>
        <w:tc>
          <w:tcPr>
            <w:vMerge w:val="restart"/>
          </w:tcPr>
          <w:p w:rsidR="00000000" w:rsidDel="00000000" w:rsidP="00000000" w:rsidRDefault="00000000" w:rsidRPr="00000000" w14:paraId="0000008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 and the Indo-Pacific</w:t>
            </w:r>
          </w:p>
        </w:tc>
        <w:tc>
          <w:tcPr>
            <w:shd w:fill="auto" w:val="clear"/>
          </w:tcPr>
          <w:p w:rsidR="00000000" w:rsidDel="00000000" w:rsidP="00000000" w:rsidRDefault="00000000" w:rsidRPr="00000000" w14:paraId="0000008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 relations in the Indo-Pacific region</w:t>
            </w:r>
          </w:p>
        </w:tc>
      </w:tr>
      <w:tr>
        <w:trPr>
          <w:cantSplit w:val="0"/>
          <w:trHeight w:val="404" w:hRule="atLeast"/>
          <w:tblHeader w:val="0"/>
        </w:trPr>
        <w:tc>
          <w:tcPr>
            <w:shd w:fill="auto" w:val="clear"/>
            <w:vAlign w:val="center"/>
          </w:tcPr>
          <w:p w:rsidR="00000000" w:rsidDel="00000000" w:rsidP="00000000" w:rsidRDefault="00000000" w:rsidRPr="00000000" w14:paraId="0000008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w:t>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8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How relevant is Japan’s new plan for a “Free and Open Indo-Pacific (FOIP)”?</w:t>
            </w:r>
          </w:p>
        </w:tc>
      </w:tr>
      <w:tr>
        <w:trPr>
          <w:cantSplit w:val="0"/>
          <w:trHeight w:val="404" w:hRule="atLeast"/>
          <w:tblHeader w:val="0"/>
        </w:trPr>
        <w:tc>
          <w:tcPr>
            <w:shd w:fill="auto" w:val="clear"/>
            <w:vAlign w:val="center"/>
          </w:tcPr>
          <w:p w:rsidR="00000000" w:rsidDel="00000000" w:rsidP="00000000" w:rsidRDefault="00000000" w:rsidRPr="00000000" w14:paraId="0000008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29</w:t>
            </w:r>
          </w:p>
        </w:tc>
        <w:tc>
          <w:tcPr>
            <w:vMerge w:val="restart"/>
          </w:tcPr>
          <w:p w:rsidR="00000000" w:rsidDel="00000000" w:rsidP="00000000" w:rsidRDefault="00000000" w:rsidRPr="00000000" w14:paraId="0000008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 Africa, the Middle East, and Latin America</w:t>
            </w:r>
          </w:p>
        </w:tc>
        <w:tc>
          <w:tcPr>
            <w:shd w:fill="auto" w:val="clear"/>
          </w:tcPr>
          <w:p w:rsidR="00000000" w:rsidDel="00000000" w:rsidP="00000000" w:rsidRDefault="00000000" w:rsidRPr="00000000" w14:paraId="0000008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Japan’s engagement with Africa, the Middle East, and Latin America</w:t>
            </w:r>
          </w:p>
        </w:tc>
      </w:tr>
      <w:tr>
        <w:trPr>
          <w:cantSplit w:val="0"/>
          <w:trHeight w:val="404" w:hRule="atLeast"/>
          <w:tblHeader w:val="0"/>
        </w:trPr>
        <w:tc>
          <w:tcPr>
            <w:shd w:fill="auto" w:val="clear"/>
            <w:vAlign w:val="center"/>
          </w:tcPr>
          <w:p w:rsidR="00000000" w:rsidDel="00000000" w:rsidP="00000000" w:rsidRDefault="00000000" w:rsidRPr="00000000" w14:paraId="0000008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30</w:t>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08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How would you describe Japan's political values in the 21st century?</w:t>
            </w:r>
          </w:p>
        </w:tc>
      </w:tr>
      <w:tr>
        <w:trPr>
          <w:cantSplit w:val="0"/>
          <w:tblHeader w:val="0"/>
        </w:trPr>
        <w:tc>
          <w:tcPr>
            <w:gridSpan w:val="3"/>
            <w:shd w:fill="auto" w:val="clear"/>
          </w:tcPr>
          <w:p w:rsidR="00000000" w:rsidDel="00000000" w:rsidP="00000000" w:rsidRDefault="00000000" w:rsidRPr="00000000" w14:paraId="0000008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Materials:</w:t>
            </w:r>
          </w:p>
        </w:tc>
      </w:tr>
      <w:tr>
        <w:trPr>
          <w:cantSplit w:val="0"/>
          <w:tblHeader w:val="0"/>
        </w:trPr>
        <w:tc>
          <w:tcPr>
            <w:gridSpan w:val="3"/>
            <w:shd w:fill="auto" w:val="clear"/>
          </w:tcPr>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sz w:val="22"/>
                <w:szCs w:val="22"/>
                <w:rtl w:val="0"/>
              </w:rPr>
              <w:t xml:space="preserve">Book chapters, short articles or relevant reading materials will be provided by the instructor.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Suggested textbooks:</w:t>
            </w:r>
          </w:p>
          <w:p w:rsidR="00000000" w:rsidDel="00000000" w:rsidP="00000000" w:rsidRDefault="00000000" w:rsidRPr="00000000" w14:paraId="000000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Pekkanen Robert and Saadia M Pekkanen. 2022. The Oxford Handbook of Japanese Politics. New York NY: Oxford University Press.</w:t>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Gaunder Alisa. 2011. The Routledge Handbook of Japanese Politics. London: Routledge.</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9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Policies (Attendance, etc.)</w:t>
            </w:r>
          </w:p>
        </w:tc>
      </w:tr>
      <w:tr>
        <w:trPr>
          <w:cantSplit w:val="0"/>
          <w:tblHeader w:val="0"/>
        </w:trPr>
        <w:tc>
          <w:tcPr>
            <w:gridSpan w:val="3"/>
            <w:shd w:fill="auto" w:val="clear"/>
          </w:tcPr>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participation is crucial to the success of this course. Before joining the class, please make sure to finish the reading materials or homework given by the instructor.</w:t>
            </w:r>
          </w:p>
          <w:p w:rsidR="00000000" w:rsidDel="00000000" w:rsidP="00000000" w:rsidRDefault="00000000" w:rsidRPr="00000000" w14:paraId="000000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withdrawal from the course will be recommended after five unexcused absences.</w:t>
            </w:r>
          </w:p>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you arrive on time. Absences will be recorded if you are more than 20 minutes late.</w:t>
            </w:r>
          </w:p>
          <w:p w:rsidR="00000000" w:rsidDel="00000000" w:rsidP="00000000" w:rsidRDefault="00000000" w:rsidRPr="00000000" w14:paraId="000000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crucial to take plagiarism seriously. In the event that a student violates the Institution's Academic Honesty Guidelines, they may fail their assignments or courses.   </w:t>
            </w:r>
          </w:p>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properly cite other authors in your midterm and final papers. Political science relies on primary or secondary data. Therefore, you should not copy ideas from other authors, books, reports, articles, etc., and claim them as your own.</w:t>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Hours: You are welcome to discuss the course materials, assignments, readings, etc., with me. If you would like to make an appointment, please send an email (please wait for a response within one business day)</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Politics can be a highly sensitive topic because it involves the exercise of power and influence over people’s lives and well-being. Political decisions often have far-reaching consequences, and different groups may have competing interests and perspectives on how resources should be allocated, laws enforced, or policies implemented. In this context,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there will be no tolerance for harassment or discrimination of any kind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A9">
            <w:pPr>
              <w:ind w:left="1134" w:hanging="113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 Preparation and Review</w:t>
            </w:r>
          </w:p>
        </w:tc>
      </w:tr>
      <w:tr>
        <w:trPr>
          <w:cantSplit w:val="0"/>
          <w:tblHeader w:val="0"/>
        </w:trPr>
        <w:tc>
          <w:tcPr>
            <w:gridSpan w:val="3"/>
            <w:shd w:fill="auto" w:val="clear"/>
          </w:tcPr>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should spend at least one hour reviewing and doing homework to prepare for each lesson.</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B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Grades and Grading Standards</w:t>
            </w:r>
          </w:p>
        </w:tc>
      </w:tr>
      <w:tr>
        <w:trPr>
          <w:cantSplit w:val="0"/>
          <w:tblHeader w:val="0"/>
        </w:trPr>
        <w:tc>
          <w:tcPr>
            <w:gridSpan w:val="3"/>
            <w:shd w:fill="auto" w:val="clear"/>
          </w:tcPr>
          <w:p w:rsidR="00000000" w:rsidDel="00000000" w:rsidP="00000000" w:rsidRDefault="00000000" w:rsidRPr="00000000" w14:paraId="000000B4">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In-Class participation: 20%</w:t>
            </w:r>
          </w:p>
          <w:p w:rsidR="00000000" w:rsidDel="00000000" w:rsidP="00000000" w:rsidRDefault="00000000" w:rsidRPr="00000000" w14:paraId="000000B5">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Assignments and presentations: 20%</w:t>
            </w:r>
          </w:p>
          <w:p w:rsidR="00000000" w:rsidDel="00000000" w:rsidP="00000000" w:rsidRDefault="00000000" w:rsidRPr="00000000" w14:paraId="000000B6">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Mid-term paper (500-750 words): 30%</w:t>
            </w:r>
          </w:p>
          <w:p w:rsidR="00000000" w:rsidDel="00000000" w:rsidP="00000000" w:rsidRDefault="00000000" w:rsidRPr="00000000" w14:paraId="000000B7">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Final examination: 30%</w:t>
            </w:r>
          </w:p>
          <w:p w:rsidR="00000000" w:rsidDel="00000000" w:rsidP="00000000" w:rsidRDefault="00000000" w:rsidRPr="00000000" w14:paraId="000000B8">
            <w:pPr>
              <w:ind w:left="360" w:firstLine="0"/>
              <w:rPr>
                <w:rFonts w:ascii="Arial" w:cs="Arial" w:eastAsia="Arial" w:hAnsi="Arial"/>
                <w:sz w:val="22"/>
                <w:szCs w:val="22"/>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B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Methods of Feedback:</w:t>
            </w:r>
          </w:p>
        </w:tc>
      </w:tr>
      <w:tr>
        <w:trPr>
          <w:cantSplit w:val="0"/>
          <w:tblHeader w:val="0"/>
        </w:trPr>
        <w:tc>
          <w:tcPr>
            <w:gridSpan w:val="3"/>
            <w:shd w:fill="auto" w:val="clear"/>
          </w:tcPr>
          <w:p w:rsidR="00000000" w:rsidDel="00000000" w:rsidP="00000000" w:rsidRDefault="00000000" w:rsidRPr="00000000" w14:paraId="000000BE">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 principle, graded work will be returned within one week of submission with appropriate feedback, i.e., grade, comments, etc.</w:t>
            </w:r>
          </w:p>
          <w:p w:rsidR="00000000" w:rsidDel="00000000" w:rsidP="00000000" w:rsidRDefault="00000000" w:rsidRPr="00000000" w14:paraId="000000C0">
            <w:pPr>
              <w:jc w:val="left"/>
              <w:rPr>
                <w:rFonts w:ascii="Arial" w:cs="Arial" w:eastAsia="Arial" w:hAnsi="Arial"/>
                <w:sz w:val="22"/>
                <w:szCs w:val="22"/>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C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Diploma Policy Objectives:</w:t>
            </w:r>
          </w:p>
        </w:tc>
      </w:tr>
      <w:tr>
        <w:trPr>
          <w:cantSplit w:val="0"/>
          <w:tblHeader w:val="0"/>
        </w:trPr>
        <w:tc>
          <w:tcPr>
            <w:gridSpan w:val="3"/>
            <w:shd w:fill="auto" w:val="clear"/>
          </w:tcPr>
          <w:p w:rsidR="00000000" w:rsidDel="00000000" w:rsidP="00000000" w:rsidRDefault="00000000" w:rsidRPr="00000000" w14:paraId="000000C6">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Work completed in this course helps students achieve the following Diploma Policy objective(s):</w:t>
            </w:r>
          </w:p>
          <w:p w:rsidR="00000000" w:rsidDel="00000000" w:rsidP="00000000" w:rsidRDefault="00000000" w:rsidRPr="00000000" w14:paraId="000000C7">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 Advanced thinking skills (comparison, analysis, synthesis, and evaluation) based on critical thinking (critical and analytic thought) </w:t>
            </w:r>
          </w:p>
          <w:p w:rsidR="00000000" w:rsidDel="00000000" w:rsidP="00000000" w:rsidRDefault="00000000" w:rsidRPr="00000000" w14:paraId="000000C8">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2. The ability to understand and accept different cultures developed through acquisition of a broad knowledge and comparison of the cultures of Japan and other nations</w:t>
            </w:r>
          </w:p>
          <w:p w:rsidR="00000000" w:rsidDel="00000000" w:rsidP="00000000" w:rsidRDefault="00000000" w:rsidRPr="00000000" w14:paraId="000000C9">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 The ability to identify and solve problems</w:t>
            </w:r>
          </w:p>
          <w:p w:rsidR="00000000" w:rsidDel="00000000" w:rsidP="00000000" w:rsidRDefault="00000000" w:rsidRPr="00000000" w14:paraId="000000CA">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 Advanced communicative proficiency in both Japanese and English</w:t>
            </w:r>
          </w:p>
          <w:p w:rsidR="00000000" w:rsidDel="00000000" w:rsidP="00000000" w:rsidRDefault="00000000" w:rsidRPr="00000000" w14:paraId="000000CB">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5: Proficiency in the use of information technology</w:t>
            </w:r>
          </w:p>
        </w:tc>
      </w:tr>
      <w:tr>
        <w:trPr>
          <w:cantSplit w:val="0"/>
          <w:tblHeader w:val="0"/>
        </w:trPr>
        <w:tc>
          <w:tcPr>
            <w:gridSpan w:val="3"/>
            <w:shd w:fill="auto" w:val="clear"/>
          </w:tcPr>
          <w:p w:rsidR="00000000" w:rsidDel="00000000" w:rsidP="00000000" w:rsidRDefault="00000000" w:rsidRPr="00000000" w14:paraId="000000C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Notes:</w:t>
            </w:r>
          </w:p>
        </w:tc>
      </w:tr>
      <w:tr>
        <w:trPr>
          <w:cantSplit w:val="0"/>
          <w:tblHeader w:val="0"/>
        </w:trPr>
        <w:tc>
          <w:tcPr>
            <w:gridSpan w:val="3"/>
            <w:shd w:fill="auto" w:val="clear"/>
          </w:tcPr>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Throughout the semester, I reserve the right to modify the syllabus as necessary.</w:t>
            </w:r>
          </w:p>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rPr>
              <w:drawing>
                <wp:inline distB="0" distT="0" distL="0" distR="0">
                  <wp:extent cx="5622613" cy="4109010"/>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22613" cy="41090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5">
      <w:pPr>
        <w:rPr>
          <w:rFonts w:ascii="Arial" w:cs="Arial" w:eastAsia="Arial" w:hAnsi="Arial"/>
          <w:sz w:val="24"/>
          <w:szCs w:val="24"/>
        </w:rPr>
      </w:pPr>
      <w:r w:rsidDel="00000000" w:rsidR="00000000" w:rsidRPr="00000000">
        <w:rPr>
          <w:rtl w:val="0"/>
        </w:rPr>
      </w:r>
    </w:p>
    <w:sectPr>
      <w:pgSz w:h="16838" w:w="11904"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jc w:val="both"/>
    </w:pPr>
    <w:rPr>
      <w:kern w:val="2"/>
      <w:sz w:val="2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D965CE"/>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nhideWhenUsed w:val="1"/>
    <w:rsid w:val="008153C6"/>
    <w:rPr>
      <w:color w:val="0000ff"/>
      <w:u w:val="single"/>
    </w:rPr>
  </w:style>
  <w:style w:type="paragraph" w:styleId="BalloonText">
    <w:name w:val="Balloon Text"/>
    <w:basedOn w:val="Normal"/>
    <w:link w:val="BalloonTextChar"/>
    <w:rsid w:val="00882ADD"/>
    <w:rPr>
      <w:rFonts w:ascii="Tahoma" w:cs="Tahoma" w:hAnsi="Tahoma"/>
      <w:sz w:val="16"/>
      <w:szCs w:val="16"/>
    </w:rPr>
  </w:style>
  <w:style w:type="character" w:styleId="BalloonTextChar" w:customStyle="1">
    <w:name w:val="Balloon Text Char"/>
    <w:link w:val="BalloonText"/>
    <w:rsid w:val="00882ADD"/>
    <w:rPr>
      <w:rFonts w:ascii="Tahoma" w:cs="Tahoma" w:hAnsi="Tahoma"/>
      <w:kern w:val="2"/>
      <w:sz w:val="16"/>
      <w:szCs w:val="16"/>
    </w:rPr>
  </w:style>
  <w:style w:type="paragraph" w:styleId="ListParagraph">
    <w:name w:val="List Paragraph"/>
    <w:basedOn w:val="Normal"/>
    <w:uiPriority w:val="34"/>
    <w:qFormat w:val="1"/>
    <w:rsid w:val="006D1106"/>
    <w:pPr>
      <w:ind w:left="720"/>
      <w:contextualSpacing w:val="1"/>
    </w:pPr>
  </w:style>
  <w:style w:type="paragraph" w:styleId="Revision">
    <w:name w:val="Revision"/>
    <w:hidden w:val="1"/>
    <w:uiPriority w:val="99"/>
    <w:semiHidden w:val="1"/>
    <w:rsid w:val="000C17F2"/>
    <w:rPr>
      <w:kern w:val="2"/>
      <w:sz w:val="21"/>
      <w:szCs w:val="24"/>
    </w:rPr>
  </w:style>
  <w:style w:type="paragraph" w:styleId="NormalWeb">
    <w:name w:val="Normal (Web)"/>
    <w:basedOn w:val="Normal"/>
    <w:uiPriority w:val="99"/>
    <w:unhideWhenUsed w:val="1"/>
    <w:rsid w:val="00290F06"/>
    <w:pPr>
      <w:widowControl w:val="1"/>
      <w:spacing w:after="100" w:afterAutospacing="1" w:before="100" w:beforeAutospacing="1"/>
      <w:jc w:val="left"/>
    </w:pPr>
    <w:rPr>
      <w:rFonts w:ascii="Times New Roman" w:eastAsia="Times New Roman" w:hAnsi="Times New Roman"/>
      <w:kern w:val="0"/>
      <w:sz w:val="24"/>
      <w:lang w:val="en-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GX4tYOGgzjUimWMElcsGIqPSUA==">AMUW2mVAvo22c7NDF2OnODcpUkz6HOZey/3r6sE86ihI2lSm0qVT6gqmYS/qdcM7CM2VePfRqkawQuaZmKR7tVytH6uOrZG9ig/eJDdmuhI9O5z/IyRcB4c=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2022-02-25T01:26:00Z</dcterms:created>
  <dc:creator>apassos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